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4E78ED" w14:textId="77777777" w:rsidR="00AF2DC6" w:rsidRDefault="00AF2DC6" w:rsidP="00AF2DC6">
      <w:pPr>
        <w:jc w:val="center"/>
        <w:rPr>
          <w:rFonts w:ascii="Arial" w:hAnsi="Arial" w:cs="Arial"/>
          <w:b/>
          <w:sz w:val="36"/>
          <w:szCs w:val="36"/>
        </w:rPr>
      </w:pPr>
      <w:r>
        <w:rPr>
          <w:rFonts w:ascii="Arial" w:hAnsi="Arial" w:cs="Arial"/>
          <w:b/>
          <w:sz w:val="36"/>
          <w:szCs w:val="36"/>
        </w:rPr>
        <w:t>Inventory Instructions</w:t>
      </w:r>
    </w:p>
    <w:p w14:paraId="7B81E35A" w14:textId="77777777" w:rsidR="00AF2DC6" w:rsidRPr="004D70B5" w:rsidRDefault="00AF2DC6" w:rsidP="00AF2DC6">
      <w:pPr>
        <w:jc w:val="center"/>
        <w:rPr>
          <w:rFonts w:ascii="Arial" w:hAnsi="Arial" w:cs="Arial"/>
          <w:b/>
          <w:szCs w:val="24"/>
        </w:rPr>
      </w:pPr>
    </w:p>
    <w:p w14:paraId="40FBE9EF" w14:textId="77777777" w:rsidR="00AF2DC6" w:rsidRPr="004D70B5" w:rsidRDefault="00AF2DC6" w:rsidP="00AF2DC6">
      <w:pPr>
        <w:rPr>
          <w:rFonts w:ascii="Arial" w:hAnsi="Arial" w:cs="Arial"/>
          <w:b/>
          <w:szCs w:val="24"/>
        </w:rPr>
      </w:pPr>
    </w:p>
    <w:p w14:paraId="1B4A4194" w14:textId="77777777" w:rsidR="00AF2DC6" w:rsidRPr="00AF2DC6" w:rsidRDefault="00AF2DC6" w:rsidP="00AF2DC6">
      <w:pPr>
        <w:pStyle w:val="ListParagraph"/>
        <w:ind w:left="0" w:firstLine="0"/>
        <w:jc w:val="both"/>
        <w:rPr>
          <w:rFonts w:ascii="Arial" w:hAnsi="Arial" w:cs="Arial"/>
          <w:b/>
          <w:i/>
        </w:rPr>
      </w:pPr>
      <w:r w:rsidRPr="00AF2DC6">
        <w:rPr>
          <w:rFonts w:ascii="Arial" w:hAnsi="Arial" w:cs="Arial"/>
          <w:szCs w:val="24"/>
        </w:rPr>
        <w:t>The inventory provides a listing of all the protected person’s assets and liabilities, which help</w:t>
      </w:r>
      <w:r w:rsidR="004D70B5">
        <w:rPr>
          <w:rFonts w:ascii="Arial" w:hAnsi="Arial" w:cs="Arial"/>
          <w:szCs w:val="24"/>
        </w:rPr>
        <w:t>s</w:t>
      </w:r>
      <w:r w:rsidRPr="00AF2DC6">
        <w:rPr>
          <w:rFonts w:ascii="Arial" w:hAnsi="Arial" w:cs="Arial"/>
          <w:szCs w:val="24"/>
        </w:rPr>
        <w:t xml:space="preserve"> the court assess the value of the estate and account for all of the protected person’s possessions. </w:t>
      </w:r>
    </w:p>
    <w:p w14:paraId="0AC296BF" w14:textId="77777777" w:rsidR="00AF2DC6" w:rsidRPr="00AF2DC6" w:rsidRDefault="00AF2DC6" w:rsidP="00AF2DC6">
      <w:pPr>
        <w:pStyle w:val="ListParagraph"/>
        <w:ind w:left="360" w:firstLine="0"/>
        <w:jc w:val="both"/>
        <w:rPr>
          <w:rFonts w:ascii="Arial" w:hAnsi="Arial" w:cs="Arial"/>
          <w:szCs w:val="24"/>
        </w:rPr>
      </w:pPr>
    </w:p>
    <w:p w14:paraId="661DD7E7" w14:textId="77777777" w:rsidR="00AF2DC6" w:rsidRPr="00AF2DC6" w:rsidRDefault="00AF2DC6" w:rsidP="00AF2DC6">
      <w:pPr>
        <w:pStyle w:val="ListParagraph"/>
        <w:ind w:left="0" w:firstLine="0"/>
        <w:jc w:val="both"/>
        <w:rPr>
          <w:rFonts w:ascii="Arial" w:hAnsi="Arial" w:cs="Arial"/>
          <w:szCs w:val="24"/>
        </w:rPr>
      </w:pPr>
      <w:r w:rsidRPr="00AF2DC6">
        <w:rPr>
          <w:rFonts w:ascii="Arial" w:hAnsi="Arial" w:cs="Arial"/>
          <w:szCs w:val="24"/>
        </w:rPr>
        <w:t xml:space="preserve">An inventory is required from a conservator and is a required attachment to Form 5.  Arizona Revised Statutes § 14-5418 states </w:t>
      </w:r>
      <w:r w:rsidRPr="00AF2DC6">
        <w:rPr>
          <w:rFonts w:ascii="Arial" w:hAnsi="Arial" w:cs="Arial"/>
          <w:i/>
          <w:szCs w:val="24"/>
        </w:rPr>
        <w:t xml:space="preserve">“Within ninety days after appointment, a conservator shall prepare and file with the court an inventory of the assets of the protected person on the date of the conservator's appointment, listing it with reasonable detail and indicating the fair market value of each asset as of the date of appointment. </w:t>
      </w:r>
      <w:r w:rsidRPr="00AF2DC6">
        <w:rPr>
          <w:rFonts w:ascii="Arial" w:hAnsi="Arial" w:cs="Arial"/>
          <w:szCs w:val="24"/>
        </w:rPr>
        <w:t xml:space="preserve">Note: The date of appointment is considered to be the date the letters of conservator were issued. </w:t>
      </w:r>
    </w:p>
    <w:p w14:paraId="21F0B3CD" w14:textId="77777777" w:rsidR="00AF2DC6" w:rsidRPr="00AF2DC6" w:rsidRDefault="00AF2DC6" w:rsidP="00AF2DC6">
      <w:pPr>
        <w:pStyle w:val="ListParagraph"/>
        <w:ind w:left="0" w:firstLine="0"/>
        <w:jc w:val="both"/>
        <w:rPr>
          <w:rFonts w:ascii="Arial" w:hAnsi="Arial" w:cs="Arial"/>
          <w:szCs w:val="24"/>
        </w:rPr>
      </w:pPr>
    </w:p>
    <w:p w14:paraId="2A2E951E" w14:textId="77777777" w:rsidR="00AF2DC6" w:rsidRPr="00AF2DC6" w:rsidRDefault="00AF2DC6" w:rsidP="00AF2DC6">
      <w:pPr>
        <w:pStyle w:val="ListParagraph"/>
        <w:ind w:left="0" w:firstLine="0"/>
        <w:jc w:val="both"/>
        <w:rPr>
          <w:rFonts w:ascii="Arial" w:hAnsi="Arial" w:cs="Arial"/>
          <w:szCs w:val="24"/>
        </w:rPr>
      </w:pPr>
      <w:r w:rsidRPr="00AF2DC6">
        <w:rPr>
          <w:rFonts w:ascii="Arial" w:hAnsi="Arial" w:cs="Arial"/>
          <w:szCs w:val="24"/>
        </w:rPr>
        <w:t xml:space="preserve">Unless otherwise ordered by the court, </w:t>
      </w:r>
      <w:r w:rsidRPr="00AF2DC6">
        <w:rPr>
          <w:rFonts w:ascii="Arial" w:hAnsi="Arial" w:cs="Arial"/>
          <w:b/>
          <w:szCs w:val="24"/>
        </w:rPr>
        <w:t>DO NOT</w:t>
      </w:r>
      <w:r w:rsidRPr="00AF2DC6">
        <w:rPr>
          <w:rFonts w:ascii="Arial" w:hAnsi="Arial" w:cs="Arial"/>
          <w:szCs w:val="24"/>
        </w:rPr>
        <w:t xml:space="preserve"> include in the inventory any property that is titled in the name of a different legal entity, such as property held by a trust or corporation, unless you, as conservator, can exercise a power of direction over the asset.</w:t>
      </w:r>
    </w:p>
    <w:p w14:paraId="581B6AFA" w14:textId="77777777" w:rsidR="00AF2DC6" w:rsidRPr="00AF2DC6" w:rsidRDefault="00AF2DC6" w:rsidP="00AF2DC6">
      <w:pPr>
        <w:pStyle w:val="ListParagraph"/>
        <w:ind w:left="0" w:firstLine="0"/>
        <w:jc w:val="both"/>
        <w:rPr>
          <w:rFonts w:ascii="Arial" w:hAnsi="Arial" w:cs="Arial"/>
          <w:szCs w:val="24"/>
        </w:rPr>
      </w:pPr>
    </w:p>
    <w:p w14:paraId="2EE3D2D0" w14:textId="77777777" w:rsidR="00AF2DC6" w:rsidRPr="00AF2DC6" w:rsidRDefault="00AF2DC6" w:rsidP="00AF2DC6">
      <w:pPr>
        <w:pStyle w:val="ListParagraph"/>
        <w:ind w:left="0" w:firstLine="0"/>
        <w:jc w:val="both"/>
        <w:rPr>
          <w:rFonts w:ascii="Arial" w:hAnsi="Arial" w:cs="Arial"/>
          <w:szCs w:val="24"/>
        </w:rPr>
      </w:pPr>
      <w:r w:rsidRPr="00AF2DC6">
        <w:rPr>
          <w:rFonts w:ascii="Arial" w:hAnsi="Arial" w:cs="Arial"/>
          <w:szCs w:val="24"/>
        </w:rPr>
        <w:t xml:space="preserve">When listing the value of all assets </w:t>
      </w:r>
      <w:r w:rsidRPr="00AF2DC6">
        <w:rPr>
          <w:rFonts w:ascii="Arial" w:hAnsi="Arial" w:cs="Arial"/>
          <w:b/>
          <w:szCs w:val="24"/>
        </w:rPr>
        <w:t>DO NOT</w:t>
      </w:r>
      <w:r w:rsidRPr="00AF2DC6">
        <w:rPr>
          <w:rFonts w:ascii="Arial" w:hAnsi="Arial" w:cs="Arial"/>
          <w:szCs w:val="24"/>
        </w:rPr>
        <w:t xml:space="preserve"> deduct any liens or mortgages.  Report debts (amounts owed on real or personal property) separately but identify if any debt is secured against any particular asset.  Please note: the value of an asset is the market value of the asset. For example</w:t>
      </w:r>
      <w:r w:rsidRPr="00AF2DC6">
        <w:rPr>
          <w:rFonts w:ascii="Arial" w:hAnsi="Arial" w:cs="Arial"/>
          <w:i/>
          <w:szCs w:val="24"/>
        </w:rPr>
        <w:t xml:space="preserve">, </w:t>
      </w:r>
      <w:r w:rsidRPr="00AF2DC6">
        <w:rPr>
          <w:rFonts w:ascii="Arial" w:hAnsi="Arial" w:cs="Arial"/>
          <w:szCs w:val="24"/>
        </w:rPr>
        <w:t>use the current value of the home as the inventory value, not the mortgage balance remaining.</w:t>
      </w:r>
    </w:p>
    <w:p w14:paraId="751B2ECE" w14:textId="77777777" w:rsidR="00AF2DC6" w:rsidRPr="00AF2DC6" w:rsidRDefault="00AF2DC6" w:rsidP="00AF2DC6">
      <w:pPr>
        <w:pStyle w:val="ListParagraph"/>
        <w:ind w:left="360" w:firstLine="0"/>
        <w:jc w:val="both"/>
        <w:rPr>
          <w:rFonts w:ascii="Arial" w:hAnsi="Arial" w:cs="Arial"/>
          <w:szCs w:val="24"/>
        </w:rPr>
      </w:pPr>
    </w:p>
    <w:p w14:paraId="2EDF8C59" w14:textId="77777777" w:rsidR="00AF2DC6" w:rsidRPr="00AF2DC6" w:rsidRDefault="00AF2DC6" w:rsidP="00AF2DC6">
      <w:pPr>
        <w:pStyle w:val="ListParagraph"/>
        <w:ind w:left="0" w:firstLine="0"/>
        <w:jc w:val="both"/>
        <w:rPr>
          <w:rFonts w:ascii="Arial" w:hAnsi="Arial" w:cs="Arial"/>
        </w:rPr>
      </w:pPr>
      <w:r w:rsidRPr="00AF2DC6">
        <w:rPr>
          <w:rFonts w:ascii="Arial" w:hAnsi="Arial" w:cs="Arial"/>
        </w:rPr>
        <w:t xml:space="preserve">For the assets for which valuation documentation exists, such as bank accounts and investment accounts, use the most recent account information. You must deduct any outstanding checks or add any deposits that are not yet received. </w:t>
      </w:r>
    </w:p>
    <w:p w14:paraId="51180161" w14:textId="77777777" w:rsidR="00AF2DC6" w:rsidRDefault="00AF2DC6" w:rsidP="00AF2DC6">
      <w:pPr>
        <w:ind w:left="0" w:firstLine="0"/>
        <w:jc w:val="both"/>
      </w:pPr>
    </w:p>
    <w:p w14:paraId="20F9D848" w14:textId="77777777" w:rsidR="00AF2DC6" w:rsidRDefault="00AF2DC6" w:rsidP="00AF2DC6">
      <w:pPr>
        <w:tabs>
          <w:tab w:val="left" w:pos="9360"/>
        </w:tabs>
        <w:autoSpaceDE w:val="0"/>
        <w:autoSpaceDN w:val="0"/>
        <w:adjustRightInd w:val="0"/>
        <w:ind w:left="0" w:firstLine="0"/>
        <w:contextualSpacing w:val="0"/>
        <w:jc w:val="both"/>
        <w:rPr>
          <w:rFonts w:ascii="Arial" w:hAnsi="Arial" w:cs="Arial"/>
          <w:bCs/>
          <w:szCs w:val="24"/>
        </w:rPr>
      </w:pPr>
      <w:r>
        <w:rPr>
          <w:rFonts w:ascii="Arial" w:hAnsi="Arial" w:cs="Arial"/>
          <w:bCs/>
          <w:szCs w:val="24"/>
        </w:rPr>
        <w:t xml:space="preserve">While there is no mandated format for the Inventory, you can select the optional form (available on the probate website) and use the format provided. </w:t>
      </w:r>
    </w:p>
    <w:p w14:paraId="2BEB072B" w14:textId="77777777" w:rsidR="00AF2DC6" w:rsidRPr="00AD626A" w:rsidRDefault="00AF2DC6" w:rsidP="00AF2DC6">
      <w:pPr>
        <w:pStyle w:val="ListParagraph"/>
        <w:numPr>
          <w:ilvl w:val="0"/>
          <w:numId w:val="2"/>
        </w:numPr>
        <w:tabs>
          <w:tab w:val="left" w:pos="9360"/>
        </w:tabs>
        <w:autoSpaceDE w:val="0"/>
        <w:autoSpaceDN w:val="0"/>
        <w:adjustRightInd w:val="0"/>
        <w:ind w:left="360"/>
        <w:contextualSpacing w:val="0"/>
        <w:jc w:val="both"/>
        <w:rPr>
          <w:rFonts w:ascii="Arial" w:hAnsi="Arial" w:cs="Arial"/>
          <w:bCs/>
          <w:szCs w:val="24"/>
        </w:rPr>
      </w:pPr>
      <w:r>
        <w:rPr>
          <w:rFonts w:ascii="Arial" w:hAnsi="Arial" w:cs="Arial"/>
          <w:bCs/>
          <w:szCs w:val="24"/>
        </w:rPr>
        <w:t xml:space="preserve">If you are completing the form by hand </w:t>
      </w:r>
      <w:r w:rsidR="00C2275B">
        <w:rPr>
          <w:rFonts w:ascii="Arial" w:hAnsi="Arial" w:cs="Arial"/>
          <w:bCs/>
          <w:szCs w:val="24"/>
        </w:rPr>
        <w:t xml:space="preserve">or electronically </w:t>
      </w:r>
      <w:r>
        <w:rPr>
          <w:rFonts w:ascii="Arial" w:hAnsi="Arial" w:cs="Arial"/>
          <w:bCs/>
          <w:szCs w:val="24"/>
        </w:rPr>
        <w:t>and you need to add additional lines in any category, you will need to print another blank form.</w:t>
      </w:r>
    </w:p>
    <w:p w14:paraId="727EBB42" w14:textId="77777777" w:rsidR="00AF2DC6" w:rsidRDefault="00AF2DC6" w:rsidP="00AF2DC6">
      <w:pPr>
        <w:ind w:left="0" w:firstLine="0"/>
        <w:jc w:val="both"/>
      </w:pPr>
    </w:p>
    <w:p w14:paraId="02E2CD7D" w14:textId="77777777" w:rsidR="00AF2DC6" w:rsidRPr="00E74D13" w:rsidRDefault="00AF2DC6" w:rsidP="00AF2DC6">
      <w:pPr>
        <w:ind w:left="0" w:firstLine="0"/>
        <w:jc w:val="both"/>
      </w:pPr>
    </w:p>
    <w:p w14:paraId="51F1E749" w14:textId="77777777" w:rsidR="00AF2DC6" w:rsidRPr="00611890" w:rsidRDefault="00803B18" w:rsidP="00AF2DC6">
      <w:pPr>
        <w:pStyle w:val="ListParagraph"/>
        <w:ind w:left="360" w:firstLine="0"/>
        <w:jc w:val="both"/>
        <w:rPr>
          <w:rFonts w:cs="Times New Roman"/>
          <w:szCs w:val="24"/>
        </w:rPr>
      </w:pPr>
      <w:r>
        <w:rPr>
          <w:noProof/>
        </w:rPr>
        <mc:AlternateContent>
          <mc:Choice Requires="wps">
            <w:drawing>
              <wp:anchor distT="0" distB="0" distL="114300" distR="114300" simplePos="0" relativeHeight="251660288" behindDoc="0" locked="0" layoutInCell="1" allowOverlap="1" wp14:anchorId="7FFC14EA" wp14:editId="04BB633A">
                <wp:simplePos x="0" y="0"/>
                <wp:positionH relativeFrom="column">
                  <wp:posOffset>99060</wp:posOffset>
                </wp:positionH>
                <wp:positionV relativeFrom="paragraph">
                  <wp:posOffset>82550</wp:posOffset>
                </wp:positionV>
                <wp:extent cx="5858510" cy="864870"/>
                <wp:effectExtent l="22860" t="20955" r="14605" b="1905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58510" cy="864870"/>
                        </a:xfrm>
                        <a:prstGeom prst="rect">
                          <a:avLst/>
                        </a:prstGeom>
                        <a:solidFill>
                          <a:srgbClr val="FFFFFF"/>
                        </a:solidFill>
                        <a:ln w="28575">
                          <a:solidFill>
                            <a:srgbClr val="000000"/>
                          </a:solidFill>
                          <a:miter lim="800000"/>
                          <a:headEnd/>
                          <a:tailEnd/>
                        </a:ln>
                      </wps:spPr>
                      <wps:txbx>
                        <w:txbxContent>
                          <w:p w14:paraId="31224F3F" w14:textId="77777777" w:rsidR="00AF2DC6" w:rsidRPr="00AF2DC6" w:rsidRDefault="00AF2DC6" w:rsidP="00AF2DC6">
                            <w:pPr>
                              <w:pStyle w:val="ListParagraph"/>
                              <w:numPr>
                                <w:ilvl w:val="0"/>
                                <w:numId w:val="1"/>
                              </w:numPr>
                              <w:ind w:left="360"/>
                              <w:jc w:val="both"/>
                              <w:rPr>
                                <w:rFonts w:ascii="Arial" w:hAnsi="Arial" w:cs="Arial"/>
                                <w:szCs w:val="24"/>
                              </w:rPr>
                            </w:pPr>
                            <w:r w:rsidRPr="00AF2DC6">
                              <w:rPr>
                                <w:rFonts w:ascii="Arial" w:hAnsi="Arial" w:cs="Arial"/>
                                <w:szCs w:val="24"/>
                              </w:rPr>
                              <w:t>Important: Pursuant to Arizona Revised Statutes § 14-5418, “[t]</w:t>
                            </w:r>
                            <w:r w:rsidRPr="00AF2DC6">
                              <w:rPr>
                                <w:rFonts w:ascii="Arial" w:hAnsi="Arial" w:cs="Arial"/>
                                <w:i/>
                                <w:szCs w:val="24"/>
                              </w:rPr>
                              <w:t>he conservator shall attach to the inventory a copy of the protected person's consumer credit report from a credit reporting agency that is dated within ninety days before the filing of the inventory.”</w:t>
                            </w:r>
                            <w:r w:rsidRPr="00AF2DC6">
                              <w:rPr>
                                <w:rFonts w:ascii="Arial" w:hAnsi="Arial" w:cs="Arial"/>
                                <w:szCs w:val="24"/>
                              </w:rPr>
                              <w:t xml:space="preserve">   </w:t>
                            </w:r>
                          </w:p>
                          <w:p w14:paraId="0C46E6F3" w14:textId="77777777" w:rsidR="00AF2DC6" w:rsidRPr="00611890" w:rsidRDefault="00AF2DC6" w:rsidP="00AF2DC6">
                            <w:pPr>
                              <w:pStyle w:val="ListParagraph"/>
                              <w:ind w:left="360" w:firstLine="0"/>
                              <w:jc w:val="both"/>
                              <w:rPr>
                                <w:rFonts w:cs="Times New Roman"/>
                                <w:szCs w:val="24"/>
                              </w:rPr>
                            </w:pPr>
                          </w:p>
                          <w:p w14:paraId="1716C18F" w14:textId="77777777" w:rsidR="00AF2DC6" w:rsidRDefault="00AF2DC6" w:rsidP="00AF2DC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7.8pt;margin-top:6.5pt;width:461.3pt;height:68.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" strokeweight="2.25pt">
                <v:textbox>
                  <w:txbxContent>
                    <w:p w:rsidR="00AF2DC6" w:rsidRPr="00AF2DC6" w:rsidRDefault="00AF2DC6" w:rsidP="00AF2DC6">
                      <w:pPr>
                        <w:pStyle w:val="ListParagraph"/>
                        <w:numPr>
                          <w:ilvl w:val="0"/>
                          <w:numId w:val="1"/>
                        </w:numPr>
                        <w:ind w:left="360"/>
                        <w:jc w:val="both"/>
                        <w:rPr>
                          <w:rFonts w:ascii="Arial" w:hAnsi="Arial" w:cs="Arial"/>
                          <w:szCs w:val="24"/>
                        </w:rPr>
                      </w:pPr>
                      <w:r w:rsidRPr="00AF2DC6">
                        <w:rPr>
                          <w:rFonts w:ascii="Arial" w:hAnsi="Arial" w:cs="Arial"/>
                          <w:szCs w:val="24"/>
                        </w:rPr>
                        <w:t>Important: Pursuant to Arizona Revised Statutes § 14-5418, “[t]</w:t>
                      </w:r>
                      <w:r w:rsidRPr="00AF2DC6">
                        <w:rPr>
                          <w:rFonts w:ascii="Arial" w:hAnsi="Arial" w:cs="Arial"/>
                          <w:i/>
                          <w:szCs w:val="24"/>
                        </w:rPr>
                        <w:t>he conservator shall attach to the inventory a copy of the protected person's consumer credit report from a credit reporting agency that is dated within ninety days before the filing of the inventory.”</w:t>
                      </w:r>
                      <w:r w:rsidRPr="00AF2DC6">
                        <w:rPr>
                          <w:rFonts w:ascii="Arial" w:hAnsi="Arial" w:cs="Arial"/>
                          <w:szCs w:val="24"/>
                        </w:rPr>
                        <w:t xml:space="preserve">   </w:t>
                      </w:r>
                    </w:p>
                    <w:p w:rsidR="00AF2DC6" w:rsidRPr="00611890" w:rsidRDefault="00AF2DC6" w:rsidP="00AF2DC6">
                      <w:pPr>
                        <w:pStyle w:val="ListParagraph"/>
                        <w:ind w:left="360" w:firstLine="0"/>
                        <w:jc w:val="both"/>
                        <w:rPr>
                          <w:rFonts w:cs="Times New Roman"/>
                          <w:szCs w:val="24"/>
                        </w:rPr>
                      </w:pPr>
                    </w:p>
                    <w:p w:rsidR="00AF2DC6" w:rsidRDefault="00AF2DC6" w:rsidP="00AF2DC6"/>
                  </w:txbxContent>
                </v:textbox>
              </v:shape>
            </w:pict>
          </mc:Fallback>
        </mc:AlternateContent>
      </w:r>
    </w:p>
    <w:p w14:paraId="4842C22C" w14:textId="77777777" w:rsidR="00AF2DC6" w:rsidRDefault="00AF2DC6" w:rsidP="00AF2DC6"/>
    <w:p w14:paraId="441FFCFB" w14:textId="77777777" w:rsidR="00AF2DC6" w:rsidRDefault="00AF2DC6" w:rsidP="00AF2DC6"/>
    <w:p w14:paraId="1A3911B6" w14:textId="77777777" w:rsidR="00AF2DC6" w:rsidRDefault="00AF2DC6" w:rsidP="00AF2DC6"/>
    <w:p w14:paraId="1A693582" w14:textId="77777777" w:rsidR="00AF2DC6" w:rsidRDefault="00AF2DC6" w:rsidP="00AF2DC6"/>
    <w:p w14:paraId="51366D27" w14:textId="77777777" w:rsidR="00AF2DC6" w:rsidRDefault="00AF2DC6" w:rsidP="00AF2DC6"/>
    <w:p w14:paraId="30066276" w14:textId="77777777" w:rsidR="00293654" w:rsidRDefault="00293654"/>
    <w:sectPr w:rsidR="00293654" w:rsidSect="00293654">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4F33B1" w14:textId="77777777" w:rsidR="00AB0430" w:rsidRDefault="00AB0430" w:rsidP="00E70396">
      <w:r>
        <w:separator/>
      </w:r>
    </w:p>
  </w:endnote>
  <w:endnote w:type="continuationSeparator" w:id="0">
    <w:p w14:paraId="09C18C6E" w14:textId="77777777" w:rsidR="00AB0430" w:rsidRDefault="00AB0430" w:rsidP="00E703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49288B" w14:textId="77777777" w:rsidR="00E70396" w:rsidRPr="00D65D22" w:rsidRDefault="00D65D22" w:rsidP="00D65D22">
    <w:pPr>
      <w:pStyle w:val="Footer"/>
      <w:rPr>
        <w:sz w:val="20"/>
      </w:rPr>
    </w:pPr>
    <w:r w:rsidRPr="00D65D22">
      <w:rPr>
        <w:sz w:val="20"/>
      </w:rPr>
      <w:t>Arizona Supreme Court</w:t>
    </w:r>
    <w:r w:rsidRPr="00D65D22">
      <w:rPr>
        <w:sz w:val="20"/>
      </w:rPr>
      <w:ptab w:relativeTo="margin" w:alignment="center" w:leader="none"/>
    </w:r>
    <w:r w:rsidRPr="00D65D22">
      <w:rPr>
        <w:sz w:val="20"/>
      </w:rPr>
      <w:fldChar w:fldCharType="begin"/>
    </w:r>
    <w:r w:rsidRPr="00D65D22">
      <w:rPr>
        <w:sz w:val="20"/>
      </w:rPr>
      <w:instrText xml:space="preserve"> PAGE   \* MERGEFORMAT </w:instrText>
    </w:r>
    <w:r w:rsidRPr="00D65D22">
      <w:rPr>
        <w:sz w:val="20"/>
      </w:rPr>
      <w:fldChar w:fldCharType="separate"/>
    </w:r>
    <w:r w:rsidR="00FA6D8F">
      <w:rPr>
        <w:noProof/>
        <w:sz w:val="20"/>
      </w:rPr>
      <w:t>1</w:t>
    </w:r>
    <w:r w:rsidRPr="00D65D22">
      <w:rPr>
        <w:noProof/>
        <w:sz w:val="20"/>
      </w:rPr>
      <w:fldChar w:fldCharType="end"/>
    </w:r>
    <w:r w:rsidRPr="00D65D22">
      <w:rPr>
        <w:sz w:val="20"/>
      </w:rPr>
      <w:ptab w:relativeTo="margin" w:alignment="right" w:leader="none"/>
    </w:r>
    <w:r w:rsidRPr="00D65D22">
      <w:rPr>
        <w:sz w:val="20"/>
      </w:rPr>
      <w:t>AOC PBGN1i</w:t>
    </w:r>
    <w:r w:rsidR="002A3EC9">
      <w:rPr>
        <w:sz w:val="20"/>
      </w:rPr>
      <w:t>-021717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AAC21F" w14:textId="77777777" w:rsidR="00AB0430" w:rsidRDefault="00AB0430" w:rsidP="00E70396">
      <w:r>
        <w:separator/>
      </w:r>
    </w:p>
  </w:footnote>
  <w:footnote w:type="continuationSeparator" w:id="0">
    <w:p w14:paraId="0AEDD0F6" w14:textId="77777777" w:rsidR="00AB0430" w:rsidRDefault="00AB0430" w:rsidP="00E7039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F9343C0"/>
    <w:multiLevelType w:val="hybridMultilevel"/>
    <w:tmpl w:val="9B266BBA"/>
    <w:lvl w:ilvl="0" w:tplc="0409000B">
      <w:start w:val="1"/>
      <w:numFmt w:val="bullet"/>
      <w:lvlText w:val=""/>
      <w:lvlJc w:val="left"/>
      <w:pPr>
        <w:ind w:left="765" w:hanging="360"/>
      </w:pPr>
      <w:rPr>
        <w:rFonts w:ascii="Wingdings" w:hAnsi="Wingdings"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 w15:restartNumberingAfterBreak="0">
    <w:nsid w:val="7A8A6086"/>
    <w:multiLevelType w:val="hybridMultilevel"/>
    <w:tmpl w:val="8D884322"/>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2DC6"/>
    <w:rsid w:val="000C4028"/>
    <w:rsid w:val="0012734A"/>
    <w:rsid w:val="00162B77"/>
    <w:rsid w:val="00196B4D"/>
    <w:rsid w:val="001D456F"/>
    <w:rsid w:val="001F59B0"/>
    <w:rsid w:val="00211359"/>
    <w:rsid w:val="00293654"/>
    <w:rsid w:val="002A3EC9"/>
    <w:rsid w:val="003010CE"/>
    <w:rsid w:val="00320BAF"/>
    <w:rsid w:val="004D70B5"/>
    <w:rsid w:val="00556ADD"/>
    <w:rsid w:val="005C6877"/>
    <w:rsid w:val="006572FD"/>
    <w:rsid w:val="00676E4B"/>
    <w:rsid w:val="006A31D6"/>
    <w:rsid w:val="006F44EE"/>
    <w:rsid w:val="0071699C"/>
    <w:rsid w:val="00750EDD"/>
    <w:rsid w:val="00803B18"/>
    <w:rsid w:val="00930BB4"/>
    <w:rsid w:val="0093259F"/>
    <w:rsid w:val="0097686B"/>
    <w:rsid w:val="009940AD"/>
    <w:rsid w:val="00AB0430"/>
    <w:rsid w:val="00AF2DC6"/>
    <w:rsid w:val="00C02FE4"/>
    <w:rsid w:val="00C2275B"/>
    <w:rsid w:val="00D65D22"/>
    <w:rsid w:val="00E70396"/>
    <w:rsid w:val="00EC269F"/>
    <w:rsid w:val="00EC28C2"/>
    <w:rsid w:val="00EF47F5"/>
    <w:rsid w:val="00F26744"/>
    <w:rsid w:val="00FA6D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65FEB8"/>
  <w15:docId w15:val="{0EB69980-B9A2-4196-BD6A-6EF148FE8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ind w:left="360" w:hanging="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2DC6"/>
    <w:pPr>
      <w:contextualSpacing/>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F2DC6"/>
    <w:pPr>
      <w:ind w:left="720"/>
    </w:pPr>
  </w:style>
  <w:style w:type="paragraph" w:styleId="Header">
    <w:name w:val="header"/>
    <w:basedOn w:val="Normal"/>
    <w:link w:val="HeaderChar"/>
    <w:uiPriority w:val="99"/>
    <w:unhideWhenUsed/>
    <w:rsid w:val="00E70396"/>
    <w:pPr>
      <w:tabs>
        <w:tab w:val="center" w:pos="4680"/>
        <w:tab w:val="right" w:pos="9360"/>
      </w:tabs>
    </w:pPr>
  </w:style>
  <w:style w:type="character" w:customStyle="1" w:styleId="HeaderChar">
    <w:name w:val="Header Char"/>
    <w:basedOn w:val="DefaultParagraphFont"/>
    <w:link w:val="Header"/>
    <w:uiPriority w:val="99"/>
    <w:rsid w:val="00E70396"/>
    <w:rPr>
      <w:rFonts w:ascii="Times New Roman" w:hAnsi="Times New Roman"/>
      <w:sz w:val="24"/>
    </w:rPr>
  </w:style>
  <w:style w:type="paragraph" w:styleId="Footer">
    <w:name w:val="footer"/>
    <w:basedOn w:val="Normal"/>
    <w:link w:val="FooterChar"/>
    <w:uiPriority w:val="99"/>
    <w:unhideWhenUsed/>
    <w:rsid w:val="00E70396"/>
    <w:pPr>
      <w:tabs>
        <w:tab w:val="center" w:pos="4680"/>
        <w:tab w:val="right" w:pos="9360"/>
      </w:tabs>
    </w:pPr>
  </w:style>
  <w:style w:type="character" w:customStyle="1" w:styleId="FooterChar">
    <w:name w:val="Footer Char"/>
    <w:basedOn w:val="DefaultParagraphFont"/>
    <w:link w:val="Footer"/>
    <w:uiPriority w:val="99"/>
    <w:rsid w:val="00E70396"/>
    <w:rPr>
      <w:rFonts w:ascii="Times New Roman" w:hAnsi="Times New Roman"/>
      <w:sz w:val="24"/>
    </w:rPr>
  </w:style>
  <w:style w:type="paragraph" w:styleId="BalloonText">
    <w:name w:val="Balloon Text"/>
    <w:basedOn w:val="Normal"/>
    <w:link w:val="BalloonTextChar"/>
    <w:uiPriority w:val="99"/>
    <w:semiHidden/>
    <w:unhideWhenUsed/>
    <w:rsid w:val="00E70396"/>
    <w:rPr>
      <w:rFonts w:ascii="Tahoma" w:hAnsi="Tahoma" w:cs="Tahoma"/>
      <w:sz w:val="16"/>
      <w:szCs w:val="16"/>
    </w:rPr>
  </w:style>
  <w:style w:type="character" w:customStyle="1" w:styleId="BalloonTextChar">
    <w:name w:val="Balloon Text Char"/>
    <w:basedOn w:val="DefaultParagraphFont"/>
    <w:link w:val="BalloonText"/>
    <w:uiPriority w:val="99"/>
    <w:semiHidden/>
    <w:rsid w:val="00E7039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2017-02-17T07:00:00+00:00</EffectiveDate>
    <CaseType xmlns="521f91b8-91cc-4ac0-8293-5b66aee000f1">Probate</CaseType>
    <FormNo_x002e_0 xmlns="521f91b8-91cc-4ac0-8293-5b66aee000f1">AOCPBGN1I</FormNo_x002e_0>
    <CourtType xmlns="521f91b8-91cc-4ac0-8293-5b66aee000f1" xsi:nil="true"/>
    <Notes xmlns="521f91b8-91cc-4ac0-8293-5b66aee000f1" xsi:nil="true"/>
    <FormNo_x002e_ xmlns="521f91b8-91cc-4ac0-8293-5b66aee000f1">Inventory Instructions</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79FAC5FB-C03C-4969-A025-A4EB142FECE6}"/>
</file>

<file path=customXml/itemProps2.xml><?xml version="1.0" encoding="utf-8"?>
<ds:datastoreItem xmlns:ds="http://schemas.openxmlformats.org/officeDocument/2006/customXml" ds:itemID="{6804231F-39D5-4F9C-903C-EADA50C84905}"/>
</file>

<file path=customXml/itemProps3.xml><?xml version="1.0" encoding="utf-8"?>
<ds:datastoreItem xmlns:ds="http://schemas.openxmlformats.org/officeDocument/2006/customXml" ds:itemID="{07A1B821-B226-4E09-9931-DC5EEAF02ED2}"/>
</file>

<file path=docProps/app.xml><?xml version="1.0" encoding="utf-8"?>
<Properties xmlns="http://schemas.openxmlformats.org/officeDocument/2006/extended-properties" xmlns:vt="http://schemas.openxmlformats.org/officeDocument/2006/docPropsVTypes">
  <Template>Normal.dotm</Template>
  <TotalTime>2</TotalTime>
  <Pages>1</Pages>
  <Words>292</Words>
  <Characters>1670</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1959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Arizona Supreme Court</dc:creator>
  <cp:lastModifiedBy>Graber, Julie</cp:lastModifiedBy>
  <cp:revision>2</cp:revision>
  <dcterms:created xsi:type="dcterms:W3CDTF">2022-12-30T00:22:00Z</dcterms:created>
  <dcterms:modified xsi:type="dcterms:W3CDTF">2022-12-30T00:22:00Z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