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35EAB6" w14:textId="77777777" w:rsidR="00CE2FB5" w:rsidRPr="0086650B" w:rsidRDefault="00A146AE" w:rsidP="00101E67">
      <w:pPr>
        <w:spacing w:after="0" w:line="240" w:lineRule="auto"/>
        <w:ind w:right="43"/>
        <w:jc w:val="center"/>
        <w:rPr>
          <w:rFonts w:ascii="Times New Roman" w:eastAsia="Arial" w:hAnsi="Times New Roman" w:cs="Times New Roman"/>
          <w:b/>
          <w:sz w:val="24"/>
          <w:szCs w:val="21"/>
          <w:u w:val="single"/>
          <w:lang w:val="es-MX"/>
        </w:rPr>
      </w:pPr>
      <w:r>
        <w:rPr>
          <w:rFonts w:ascii="Times New Roman" w:eastAsia="Times New Roman" w:hAnsi="Times New Roman" w:cs="Times New Roman"/>
          <w:b/>
          <w:sz w:val="24"/>
          <w:szCs w:val="24"/>
          <w:u w:val="single"/>
          <w:bdr w:val="nil"/>
          <w:lang w:val="es-ES_tradnl"/>
        </w:rPr>
        <w:t xml:space="preserve">HOJA DE INFORMACIÓN LEGAL SOBRE EL DESALOJO DE VIVIENDA (REIS por sus siglas en inglés) </w:t>
      </w:r>
    </w:p>
    <w:p w14:paraId="247A361D" w14:textId="77777777" w:rsidR="00CE2FB5" w:rsidRPr="0086650B" w:rsidRDefault="00CE2FB5" w:rsidP="007C3A1E">
      <w:pPr>
        <w:spacing w:after="0" w:line="240" w:lineRule="auto"/>
        <w:ind w:left="302" w:right="43"/>
        <w:jc w:val="center"/>
        <w:rPr>
          <w:rFonts w:ascii="Times New Roman" w:hAnsi="Times New Roman" w:cs="Times New Roman"/>
          <w:sz w:val="21"/>
          <w:szCs w:val="21"/>
          <w:lang w:val="es-MX"/>
        </w:rPr>
      </w:pPr>
    </w:p>
    <w:p w14:paraId="7F7AC2E2" w14:textId="77777777" w:rsidR="00CE2FB5" w:rsidRPr="0086650B" w:rsidRDefault="00A146AE" w:rsidP="00101E67">
      <w:pPr>
        <w:spacing w:after="0" w:line="240" w:lineRule="auto"/>
        <w:ind w:right="43"/>
        <w:jc w:val="center"/>
        <w:rPr>
          <w:rFonts w:ascii="Times New Roman" w:hAnsi="Times New Roman" w:cs="Times New Roman"/>
          <w:szCs w:val="21"/>
          <w:lang w:val="es-MX"/>
        </w:rPr>
      </w:pPr>
      <w:r>
        <w:rPr>
          <w:rStyle w:val="Strong"/>
          <w:rFonts w:ascii="Times New Roman" w:eastAsia="Times New Roman" w:hAnsi="Times New Roman" w:cs="Times New Roman"/>
          <w:color w:val="212121"/>
          <w:bdr w:val="nil"/>
          <w:lang w:val="es-ES_tradnl"/>
        </w:rPr>
        <w:t>(EL TRIBUNAL SUPREMO DE ARIZONA EXIGE LA PUBLICACIÓN Y DISTRIBUCIÓN DEL PRESENTE DOCUMENTO)</w:t>
      </w:r>
    </w:p>
    <w:p w14:paraId="23935BD4" w14:textId="77777777" w:rsidR="00CE2FB5" w:rsidRPr="0086650B" w:rsidRDefault="00CE2FB5" w:rsidP="007C3A1E">
      <w:pPr>
        <w:spacing w:after="0" w:line="240" w:lineRule="auto"/>
        <w:ind w:left="302" w:right="43"/>
        <w:rPr>
          <w:rFonts w:ascii="Times New Roman" w:eastAsia="Arial" w:hAnsi="Times New Roman" w:cs="Times New Roman"/>
          <w:b/>
          <w:sz w:val="21"/>
          <w:szCs w:val="21"/>
          <w:u w:val="single" w:color="000000"/>
          <w:lang w:val="es-MX"/>
        </w:rPr>
      </w:pPr>
    </w:p>
    <w:p w14:paraId="67369414" w14:textId="77777777" w:rsidR="00CE2FB5" w:rsidRPr="0086650B" w:rsidRDefault="00A146AE" w:rsidP="007C3A1E">
      <w:pPr>
        <w:spacing w:after="0" w:line="240" w:lineRule="auto"/>
        <w:ind w:right="43"/>
        <w:jc w:val="both"/>
        <w:rPr>
          <w:rFonts w:ascii="Times New Roman" w:hAnsi="Times New Roman" w:cs="Times New Roman"/>
          <w:sz w:val="23"/>
          <w:szCs w:val="23"/>
          <w:lang w:val="es-MX"/>
        </w:rPr>
      </w:pPr>
      <w:r>
        <w:rPr>
          <w:rFonts w:ascii="Times New Roman" w:eastAsia="Times New Roman" w:hAnsi="Times New Roman" w:cs="Times New Roman"/>
          <w:b/>
          <w:sz w:val="23"/>
          <w:szCs w:val="23"/>
          <w:u w:val="single" w:color="000000"/>
          <w:bdr w:val="nil"/>
          <w:lang w:val="es-ES_tradnl"/>
        </w:rPr>
        <w:t>Aviso</w:t>
      </w:r>
      <w:r>
        <w:rPr>
          <w:rFonts w:ascii="Times New Roman" w:eastAsia="Times New Roman" w:hAnsi="Times New Roman" w:cs="Times New Roman"/>
          <w:sz w:val="23"/>
          <w:szCs w:val="23"/>
          <w:u w:color="000000"/>
          <w:bdr w:val="nil"/>
          <w:lang w:val="es-ES_tradnl"/>
        </w:rPr>
        <w:t xml:space="preserve">   El arrendador le debe entregar al inquilino un aviso por escrito que explica por qué se ha empezado el proceso de desalojo.   El inquilino debe recibir este aviso o bien antes de entablar esta demanda o bien con la citación de comparecencia.  </w:t>
      </w:r>
    </w:p>
    <w:p w14:paraId="33DBA8B8" w14:textId="77777777" w:rsidR="00CE2FB5" w:rsidRPr="0086650B" w:rsidRDefault="00A146AE" w:rsidP="007C3A1E">
      <w:pPr>
        <w:spacing w:after="0" w:line="240" w:lineRule="auto"/>
        <w:ind w:right="43"/>
        <w:jc w:val="both"/>
        <w:rPr>
          <w:rFonts w:ascii="Times New Roman" w:hAnsi="Times New Roman" w:cs="Times New Roman"/>
          <w:sz w:val="20"/>
          <w:szCs w:val="23"/>
          <w:lang w:val="es-MX"/>
        </w:rPr>
      </w:pPr>
      <w:r w:rsidRPr="0086650B">
        <w:rPr>
          <w:rFonts w:ascii="Times New Roman" w:hAnsi="Times New Roman" w:cs="Times New Roman"/>
          <w:sz w:val="23"/>
          <w:szCs w:val="23"/>
          <w:lang w:val="es-MX"/>
        </w:rPr>
        <w:t xml:space="preserve"> </w:t>
      </w:r>
    </w:p>
    <w:p w14:paraId="0CE47270" w14:textId="0D7C797A" w:rsidR="00CE2FB5" w:rsidRPr="0086650B" w:rsidRDefault="00A146AE" w:rsidP="007C3A1E">
      <w:pPr>
        <w:spacing w:after="0" w:line="240" w:lineRule="auto"/>
        <w:ind w:right="43"/>
        <w:jc w:val="both"/>
        <w:rPr>
          <w:rFonts w:ascii="Times New Roman" w:hAnsi="Times New Roman" w:cs="Times New Roman"/>
          <w:sz w:val="23"/>
          <w:szCs w:val="23"/>
          <w:lang w:val="es-MX"/>
        </w:rPr>
      </w:pPr>
      <w:r>
        <w:rPr>
          <w:rFonts w:ascii="Times New Roman" w:eastAsia="Times New Roman" w:hAnsi="Times New Roman" w:cs="Times New Roman"/>
          <w:b/>
          <w:sz w:val="23"/>
          <w:szCs w:val="23"/>
          <w:u w:val="single" w:color="000000"/>
          <w:bdr w:val="nil"/>
          <w:lang w:val="es-ES_tradnl"/>
        </w:rPr>
        <w:t>Casos que implican el pago del alquiler</w:t>
      </w:r>
      <w:r>
        <w:rPr>
          <w:rFonts w:ascii="Times New Roman" w:eastAsia="Times New Roman" w:hAnsi="Times New Roman" w:cs="Times New Roman"/>
          <w:sz w:val="23"/>
          <w:szCs w:val="23"/>
          <w:u w:color="000000"/>
          <w:bdr w:val="nil"/>
          <w:lang w:val="es-ES_tradnl"/>
        </w:rPr>
        <w:t xml:space="preserve">   Si se ha entablado la demanda porque no se ha pagado el alquiler, el inquilino puede detener dicha acción y quedarse en la vivienda al pagar todo el alquiler vencido, los cargos por mora, honorarios de abogado y costas judiciales.  Después de haberse dictado la sentencia, quedará a criterio exclusivo del arrendador reanudar el contrato de alquiler.</w:t>
      </w:r>
      <w:r w:rsidR="004C7C21">
        <w:rPr>
          <w:rFonts w:ascii="Times New Roman" w:eastAsia="Times New Roman" w:hAnsi="Times New Roman" w:cs="Times New Roman"/>
          <w:sz w:val="23"/>
          <w:szCs w:val="23"/>
          <w:u w:color="000000"/>
          <w:bdr w:val="nil"/>
          <w:lang w:val="es-ES_tradnl"/>
        </w:rPr>
        <w:t xml:space="preserve"> La “sentencia” es la decisión definitiva del juez sobre la controversia de las partes que se puede </w:t>
      </w:r>
      <w:r w:rsidR="00FF6A4E">
        <w:rPr>
          <w:rFonts w:ascii="Times New Roman" w:eastAsia="Times New Roman" w:hAnsi="Times New Roman" w:cs="Times New Roman"/>
          <w:sz w:val="23"/>
          <w:szCs w:val="23"/>
          <w:u w:color="000000"/>
          <w:bdr w:val="nil"/>
          <w:lang w:val="es-ES_tradnl"/>
        </w:rPr>
        <w:t>ejecuta</w:t>
      </w:r>
      <w:r w:rsidR="004C7C21">
        <w:rPr>
          <w:rFonts w:ascii="Times New Roman" w:eastAsia="Times New Roman" w:hAnsi="Times New Roman" w:cs="Times New Roman"/>
          <w:sz w:val="23"/>
          <w:szCs w:val="23"/>
          <w:u w:color="000000"/>
          <w:bdr w:val="nil"/>
          <w:lang w:val="es-ES_tradnl"/>
        </w:rPr>
        <w:t>r en contra de una de las partes.</w:t>
      </w:r>
      <w:r>
        <w:rPr>
          <w:rFonts w:ascii="Times New Roman" w:eastAsia="Times New Roman" w:hAnsi="Times New Roman" w:cs="Times New Roman"/>
          <w:sz w:val="23"/>
          <w:szCs w:val="23"/>
          <w:u w:color="000000"/>
          <w:bdr w:val="nil"/>
          <w:lang w:val="es-ES_tradnl"/>
        </w:rPr>
        <w:t xml:space="preserve"> El no poder pagar el alquiler no es una defensa legal y el juez no le puede ampliar el plazo al inquilino para pagar, aunque el inquilino tenga problemas económicos. </w:t>
      </w:r>
    </w:p>
    <w:p w14:paraId="3306F320" w14:textId="77777777" w:rsidR="00CE2FB5" w:rsidRPr="0086650B" w:rsidRDefault="00A146AE" w:rsidP="007C3A1E">
      <w:pPr>
        <w:spacing w:after="0" w:line="240" w:lineRule="auto"/>
        <w:ind w:right="43"/>
        <w:jc w:val="both"/>
        <w:rPr>
          <w:rFonts w:ascii="Times New Roman" w:hAnsi="Times New Roman" w:cs="Times New Roman"/>
          <w:sz w:val="20"/>
          <w:szCs w:val="23"/>
          <w:lang w:val="es-MX"/>
        </w:rPr>
      </w:pPr>
      <w:r w:rsidRPr="0086650B">
        <w:rPr>
          <w:rFonts w:ascii="Times New Roman" w:hAnsi="Times New Roman" w:cs="Times New Roman"/>
          <w:sz w:val="23"/>
          <w:szCs w:val="23"/>
          <w:lang w:val="es-MX"/>
        </w:rPr>
        <w:t xml:space="preserve"> </w:t>
      </w:r>
    </w:p>
    <w:p w14:paraId="2CA9F48F" w14:textId="6F6AE634" w:rsidR="00CE2FB5" w:rsidRPr="0086650B" w:rsidRDefault="00A146AE" w:rsidP="007C3A1E">
      <w:pPr>
        <w:spacing w:after="0" w:line="240" w:lineRule="auto"/>
        <w:ind w:right="43"/>
        <w:jc w:val="both"/>
        <w:rPr>
          <w:rFonts w:ascii="Times New Roman" w:hAnsi="Times New Roman" w:cs="Times New Roman"/>
          <w:sz w:val="23"/>
          <w:szCs w:val="23"/>
          <w:lang w:val="es-MX"/>
        </w:rPr>
      </w:pPr>
      <w:r w:rsidRPr="7445F8AC">
        <w:rPr>
          <w:rFonts w:ascii="Times New Roman" w:eastAsia="Times New Roman" w:hAnsi="Times New Roman" w:cs="Times New Roman"/>
          <w:b/>
          <w:bCs/>
          <w:sz w:val="23"/>
          <w:szCs w:val="23"/>
          <w:u w:val="single" w:color="000000"/>
          <w:bdr w:val="nil"/>
          <w:lang w:val="es-ES"/>
        </w:rPr>
        <w:t>Antes de llegar al tribunal</w:t>
      </w:r>
      <w:r w:rsidRPr="7445F8AC">
        <w:rPr>
          <w:rFonts w:ascii="Times New Roman" w:eastAsia="Times New Roman" w:hAnsi="Times New Roman" w:cs="Times New Roman"/>
          <w:b/>
          <w:bCs/>
          <w:sz w:val="23"/>
          <w:szCs w:val="23"/>
          <w:bdr w:val="nil"/>
          <w:lang w:val="es-ES"/>
        </w:rPr>
        <w:t xml:space="preserve">    </w:t>
      </w:r>
      <w:r w:rsidR="00CF5B2A" w:rsidRPr="7445F8AC">
        <w:rPr>
          <w:rFonts w:ascii="Times New Roman" w:eastAsia="Times New Roman" w:hAnsi="Times New Roman" w:cs="Times New Roman"/>
          <w:sz w:val="23"/>
          <w:szCs w:val="23"/>
          <w:bdr w:val="nil"/>
          <w:lang w:val="es-ES"/>
        </w:rPr>
        <w:t>Los casos de desalojo avanzan en el tribunal de manera muy rápida.</w:t>
      </w:r>
      <w:r w:rsidR="00CF5B2A" w:rsidRPr="7445F8AC">
        <w:rPr>
          <w:rFonts w:ascii="Times New Roman" w:eastAsia="Times New Roman" w:hAnsi="Times New Roman" w:cs="Times New Roman"/>
          <w:b/>
          <w:bCs/>
          <w:sz w:val="23"/>
          <w:szCs w:val="23"/>
          <w:bdr w:val="nil"/>
          <w:lang w:val="es-ES"/>
        </w:rPr>
        <w:t xml:space="preserve"> </w:t>
      </w:r>
      <w:r w:rsidRPr="7445F8AC">
        <w:rPr>
          <w:rFonts w:ascii="Times New Roman" w:eastAsia="Times New Roman" w:hAnsi="Times New Roman" w:cs="Times New Roman"/>
          <w:sz w:val="23"/>
          <w:szCs w:val="23"/>
          <w:bdr w:val="nil"/>
          <w:lang w:val="es-ES"/>
        </w:rPr>
        <w:t xml:space="preserve">Si el inquilino no está de acuerdo con lo que alega el arrendador, se le recomienda presentar una contestación por escrito. El formulario de la contestación se puede obtener en el tribunal y le permite al inquilino aceptar o rechazar las pretensiones y explicar su postura. </w:t>
      </w:r>
      <w:r w:rsidR="00882D9E" w:rsidRPr="7445F8AC">
        <w:rPr>
          <w:rFonts w:ascii="Times New Roman" w:eastAsia="Times New Roman" w:hAnsi="Times New Roman" w:cs="Times New Roman"/>
          <w:sz w:val="23"/>
          <w:szCs w:val="23"/>
          <w:bdr w:val="nil"/>
          <w:lang w:val="es-ES"/>
        </w:rPr>
        <w:t xml:space="preserve">No se cobra ninguna cuota para presentar la </w:t>
      </w:r>
      <w:r w:rsidR="002D2739" w:rsidRPr="7445F8AC">
        <w:rPr>
          <w:rFonts w:ascii="Times New Roman" w:eastAsia="Times New Roman" w:hAnsi="Times New Roman" w:cs="Times New Roman"/>
          <w:sz w:val="23"/>
          <w:szCs w:val="23"/>
          <w:bdr w:val="nil"/>
          <w:lang w:val="es-ES"/>
        </w:rPr>
        <w:t>contestación.</w:t>
      </w:r>
      <w:r w:rsidRPr="7445F8AC">
        <w:rPr>
          <w:rFonts w:ascii="Times New Roman" w:eastAsia="Times New Roman" w:hAnsi="Times New Roman" w:cs="Times New Roman"/>
          <w:sz w:val="23"/>
          <w:szCs w:val="23"/>
          <w:bdr w:val="nil"/>
          <w:lang w:val="es-ES"/>
        </w:rPr>
        <w:t xml:space="preserve"> Si el inquilino cree que el arrendador le debe dinero, en ciertas circun</w:t>
      </w:r>
      <w:r w:rsidR="553AE301" w:rsidRPr="7445F8AC">
        <w:rPr>
          <w:rFonts w:ascii="Times New Roman" w:eastAsia="Times New Roman" w:hAnsi="Times New Roman" w:cs="Times New Roman"/>
          <w:sz w:val="23"/>
          <w:szCs w:val="23"/>
          <w:bdr w:val="nil"/>
          <w:lang w:val="es-ES"/>
        </w:rPr>
        <w:t>s</w:t>
      </w:r>
      <w:r w:rsidRPr="7445F8AC">
        <w:rPr>
          <w:rFonts w:ascii="Times New Roman" w:eastAsia="Times New Roman" w:hAnsi="Times New Roman" w:cs="Times New Roman"/>
          <w:sz w:val="23"/>
          <w:szCs w:val="23"/>
          <w:bdr w:val="nil"/>
          <w:lang w:val="es-ES"/>
        </w:rPr>
        <w:t xml:space="preserve">tancias el inquilino podrá entablar una contrademanda. La citación de comparecencia incluye la fecha en la que se celebrará el juicio oral, pero debido a la cantidad de casos que se presentan, es posible que no se celebre el juicio oral en dicha fecha. </w:t>
      </w:r>
      <w:r w:rsidR="00CF5B2A" w:rsidRPr="7445F8AC">
        <w:rPr>
          <w:rFonts w:ascii="Times New Roman" w:eastAsia="Times New Roman" w:hAnsi="Times New Roman" w:cs="Times New Roman"/>
          <w:sz w:val="23"/>
          <w:szCs w:val="23"/>
          <w:bdr w:val="nil"/>
          <w:lang w:val="es-ES"/>
        </w:rPr>
        <w:t>Se le permitirá a un arrendador, inquilino, abogado o testigo participar en la audiencia inicial por teléfono o video conferencia</w:t>
      </w:r>
      <w:r w:rsidR="004C7C21">
        <w:rPr>
          <w:rFonts w:ascii="Times New Roman" w:eastAsia="Times New Roman" w:hAnsi="Times New Roman" w:cs="Times New Roman"/>
          <w:sz w:val="23"/>
          <w:szCs w:val="23"/>
          <w:bdr w:val="nil"/>
          <w:lang w:val="es-ES"/>
        </w:rPr>
        <w:t xml:space="preserve">. Salvo que el tribunal haya indicado cómo comparecer a distancia, se </w:t>
      </w:r>
      <w:r w:rsidR="00CF5B2A" w:rsidRPr="7445F8AC">
        <w:rPr>
          <w:rFonts w:ascii="Times New Roman" w:eastAsia="Times New Roman" w:hAnsi="Times New Roman" w:cs="Times New Roman"/>
          <w:sz w:val="23"/>
          <w:szCs w:val="23"/>
          <w:bdr w:val="nil"/>
          <w:lang w:val="es-ES"/>
        </w:rPr>
        <w:t xml:space="preserve">deberá comunicarse con el tribunal por lo menos dos horas antes de la audiencia para </w:t>
      </w:r>
      <w:r w:rsidR="004C7C21">
        <w:rPr>
          <w:rFonts w:ascii="Times New Roman" w:eastAsia="Times New Roman" w:hAnsi="Times New Roman" w:cs="Times New Roman"/>
          <w:sz w:val="23"/>
          <w:szCs w:val="23"/>
          <w:bdr w:val="nil"/>
          <w:lang w:val="es-ES"/>
        </w:rPr>
        <w:t xml:space="preserve">recibir instrucciones </w:t>
      </w:r>
      <w:r w:rsidR="00CF5B2A" w:rsidRPr="7445F8AC">
        <w:rPr>
          <w:rFonts w:ascii="Times New Roman" w:eastAsia="Times New Roman" w:hAnsi="Times New Roman" w:cs="Times New Roman"/>
          <w:sz w:val="23"/>
          <w:szCs w:val="23"/>
          <w:bdr w:val="nil"/>
          <w:lang w:val="es-ES"/>
        </w:rPr>
        <w:t xml:space="preserve">sobre cómo conectarse a la audiencia. </w:t>
      </w:r>
      <w:r w:rsidRPr="7445F8AC">
        <w:rPr>
          <w:rFonts w:ascii="Times New Roman" w:eastAsia="Times New Roman" w:hAnsi="Times New Roman" w:cs="Times New Roman"/>
          <w:sz w:val="23"/>
          <w:szCs w:val="23"/>
          <w:bdr w:val="nil"/>
          <w:lang w:val="es-ES"/>
        </w:rPr>
        <w:t xml:space="preserve">Si el inquilino no comparece ante el tribunal y el arrendador o su abogado está presente, es probable que se dicte una sentencia en contra del inquilino. El inquilino puede representarse a sí mismo o puede contratar a un abogado </w:t>
      </w:r>
      <w:r w:rsidR="004C7C21">
        <w:rPr>
          <w:rFonts w:ascii="Times New Roman" w:eastAsia="Times New Roman" w:hAnsi="Times New Roman" w:cs="Times New Roman"/>
          <w:sz w:val="23"/>
          <w:szCs w:val="23"/>
          <w:bdr w:val="nil"/>
          <w:lang w:val="es-ES"/>
        </w:rPr>
        <w:t xml:space="preserve">o paraprofesional legal acreditado </w:t>
      </w:r>
      <w:r w:rsidRPr="7445F8AC">
        <w:rPr>
          <w:rFonts w:ascii="Times New Roman" w:eastAsia="Times New Roman" w:hAnsi="Times New Roman" w:cs="Times New Roman"/>
          <w:sz w:val="23"/>
          <w:szCs w:val="23"/>
          <w:bdr w:val="nil"/>
          <w:lang w:val="es-ES"/>
        </w:rPr>
        <w:t>para que le represente. El tribunal no le asignará un abogado.</w:t>
      </w:r>
      <w:r w:rsidR="004C7C21">
        <w:rPr>
          <w:rFonts w:ascii="Times New Roman" w:eastAsia="Times New Roman" w:hAnsi="Times New Roman" w:cs="Times New Roman"/>
          <w:sz w:val="23"/>
          <w:szCs w:val="23"/>
          <w:bdr w:val="nil"/>
          <w:lang w:val="es-ES"/>
        </w:rPr>
        <w:t xml:space="preserve"> Diríjase a la parte final de “Otras fuentes de información” más adelante para </w:t>
      </w:r>
      <w:r w:rsidR="00D77F90">
        <w:rPr>
          <w:rFonts w:ascii="Times New Roman" w:eastAsia="Times New Roman" w:hAnsi="Times New Roman" w:cs="Times New Roman"/>
          <w:sz w:val="23"/>
          <w:szCs w:val="23"/>
          <w:bdr w:val="nil"/>
          <w:lang w:val="es-ES"/>
        </w:rPr>
        <w:t>obtener información de contacto sobre asesoramiento jurídico.</w:t>
      </w:r>
    </w:p>
    <w:p w14:paraId="0F17D4F0" w14:textId="77777777" w:rsidR="00CE2FB5" w:rsidRPr="0086650B" w:rsidRDefault="00A146AE" w:rsidP="007C3A1E">
      <w:pPr>
        <w:spacing w:after="0" w:line="240" w:lineRule="auto"/>
        <w:ind w:right="43"/>
        <w:jc w:val="both"/>
        <w:rPr>
          <w:rFonts w:ascii="Times New Roman" w:hAnsi="Times New Roman" w:cs="Times New Roman"/>
          <w:sz w:val="20"/>
          <w:szCs w:val="23"/>
          <w:lang w:val="es-MX"/>
        </w:rPr>
      </w:pPr>
      <w:r w:rsidRPr="0086650B">
        <w:rPr>
          <w:rFonts w:ascii="Times New Roman" w:hAnsi="Times New Roman" w:cs="Times New Roman"/>
          <w:sz w:val="23"/>
          <w:szCs w:val="23"/>
          <w:lang w:val="es-MX"/>
        </w:rPr>
        <w:t xml:space="preserve"> </w:t>
      </w:r>
    </w:p>
    <w:p w14:paraId="2050BD80" w14:textId="77777777" w:rsidR="00CE2FB5" w:rsidRPr="0086650B" w:rsidRDefault="00A146AE" w:rsidP="007C3A1E">
      <w:pPr>
        <w:spacing w:after="0" w:line="240" w:lineRule="auto"/>
        <w:ind w:right="43"/>
        <w:jc w:val="both"/>
        <w:rPr>
          <w:rFonts w:ascii="Times New Roman" w:hAnsi="Times New Roman" w:cs="Times New Roman"/>
          <w:sz w:val="23"/>
          <w:szCs w:val="23"/>
          <w:lang w:val="es-MX"/>
        </w:rPr>
      </w:pPr>
      <w:r>
        <w:rPr>
          <w:rFonts w:ascii="Times New Roman" w:eastAsia="Times New Roman" w:hAnsi="Times New Roman" w:cs="Times New Roman"/>
          <w:b/>
          <w:sz w:val="23"/>
          <w:szCs w:val="23"/>
          <w:u w:val="single" w:color="000000"/>
          <w:bdr w:val="nil"/>
          <w:lang w:val="es-ES_tradnl"/>
        </w:rPr>
        <w:t>En el tribunal</w:t>
      </w:r>
      <w:r>
        <w:rPr>
          <w:rFonts w:ascii="Times New Roman" w:eastAsia="Times New Roman" w:hAnsi="Times New Roman" w:cs="Times New Roman"/>
          <w:sz w:val="23"/>
          <w:szCs w:val="23"/>
          <w:u w:color="000000"/>
          <w:bdr w:val="nil"/>
          <w:lang w:val="es-ES_tradnl"/>
        </w:rPr>
        <w:t xml:space="preserve">    El juez empezará a llamar los casos a la hora establecida en la citación de comparecencia. Si las dos partes están presentes, el juez le preguntará al inquilino si lo que se alega en la demanda es cierto.  Si la respuesta del inquilino es “no”, tendrá que explicar al juez la razón en pocas palabras.  Si se trata de una defensa legal, el juez necesitará oír testimonio de las dos partes y tomará una decisión después del juicio oral.  Después de hablar con el arrendador o su abogado, es posible que el inquilino quiera aceptar lo que el arrendador pide y firme una “estipulación”. Se trata de un acuerdo mediante el cual las partes resuelven la disputa con base en lo que establezca el acuerdo.  Solo se puede hacer cumplir lo que esté por escrito en el acuerdo, el cual les debe resultar claro y comprehensible a ambas partes. En la mayoría de las estipulaciones se incluye una sentencia contra el inquilino.  </w:t>
      </w:r>
    </w:p>
    <w:p w14:paraId="5482A7D2" w14:textId="77777777" w:rsidR="00CE2FB5" w:rsidRPr="0086650B" w:rsidRDefault="00A146AE" w:rsidP="007C3A1E">
      <w:pPr>
        <w:spacing w:after="0" w:line="240" w:lineRule="auto"/>
        <w:ind w:right="43"/>
        <w:jc w:val="both"/>
        <w:rPr>
          <w:rFonts w:ascii="Times New Roman" w:hAnsi="Times New Roman" w:cs="Times New Roman"/>
          <w:sz w:val="20"/>
          <w:szCs w:val="23"/>
          <w:lang w:val="es-MX"/>
        </w:rPr>
      </w:pPr>
      <w:r w:rsidRPr="0086650B">
        <w:rPr>
          <w:rFonts w:ascii="Times New Roman" w:hAnsi="Times New Roman" w:cs="Times New Roman"/>
          <w:sz w:val="23"/>
          <w:szCs w:val="23"/>
          <w:lang w:val="es-MX"/>
        </w:rPr>
        <w:t xml:space="preserve"> </w:t>
      </w:r>
    </w:p>
    <w:p w14:paraId="336D18B4" w14:textId="1CD66885" w:rsidR="00CE2FB5" w:rsidRPr="0086650B" w:rsidRDefault="00A146AE" w:rsidP="007C3A1E">
      <w:pPr>
        <w:spacing w:after="0" w:line="240" w:lineRule="auto"/>
        <w:ind w:right="43"/>
        <w:jc w:val="both"/>
        <w:rPr>
          <w:rFonts w:ascii="Times New Roman" w:hAnsi="Times New Roman" w:cs="Times New Roman"/>
          <w:sz w:val="23"/>
          <w:szCs w:val="23"/>
          <w:lang w:val="es-MX"/>
        </w:rPr>
      </w:pPr>
      <w:r>
        <w:rPr>
          <w:rFonts w:ascii="Times New Roman" w:eastAsia="Times New Roman" w:hAnsi="Times New Roman" w:cs="Times New Roman"/>
          <w:b/>
          <w:sz w:val="23"/>
          <w:szCs w:val="23"/>
          <w:u w:val="single" w:color="000000"/>
          <w:bdr w:val="nil"/>
          <w:lang w:val="es-ES_tradnl"/>
        </w:rPr>
        <w:t>Aplazamiento</w:t>
      </w:r>
      <w:r>
        <w:rPr>
          <w:rFonts w:ascii="Times New Roman" w:eastAsia="Times New Roman" w:hAnsi="Times New Roman" w:cs="Times New Roman"/>
          <w:sz w:val="23"/>
          <w:szCs w:val="23"/>
          <w:u w:color="000000"/>
          <w:bdr w:val="nil"/>
          <w:lang w:val="es-ES_tradnl"/>
        </w:rPr>
        <w:t xml:space="preserve">    Tanto el arrendador como el inquilino pueden pedir que se aplace el juicio oral. El tribunal solo otorga el aplazamiento si existe un motivo muy justificado. Cualquier aplazamiento será de tres días hábiles como máximo. No hay ningu</w:t>
      </w:r>
      <w:r w:rsidR="00D77F90">
        <w:rPr>
          <w:rFonts w:ascii="Times New Roman" w:eastAsia="Times New Roman" w:hAnsi="Times New Roman" w:cs="Times New Roman"/>
          <w:sz w:val="23"/>
          <w:szCs w:val="23"/>
          <w:u w:color="000000"/>
          <w:bdr w:val="nil"/>
          <w:lang w:val="es-ES_tradnl"/>
        </w:rPr>
        <w:t>n</w:t>
      </w:r>
      <w:r>
        <w:rPr>
          <w:rFonts w:ascii="Times New Roman" w:eastAsia="Times New Roman" w:hAnsi="Times New Roman" w:cs="Times New Roman"/>
          <w:sz w:val="23"/>
          <w:szCs w:val="23"/>
          <w:u w:color="000000"/>
          <w:bdr w:val="nil"/>
          <w:lang w:val="es-ES_tradnl"/>
        </w:rPr>
        <w:t xml:space="preserve">a garantía de que se otorgue el aplazamiento y las partes deben llegar preparadas para el juicio oral y deben llevar los testigos y documentos necesarios. </w:t>
      </w:r>
    </w:p>
    <w:p w14:paraId="7B597D11" w14:textId="77777777" w:rsidR="00CE2FB5" w:rsidRPr="0086650B" w:rsidRDefault="00A146AE" w:rsidP="007C3A1E">
      <w:pPr>
        <w:spacing w:after="0" w:line="240" w:lineRule="auto"/>
        <w:ind w:right="43"/>
        <w:jc w:val="both"/>
        <w:rPr>
          <w:rFonts w:ascii="Times New Roman" w:hAnsi="Times New Roman" w:cs="Times New Roman"/>
          <w:sz w:val="20"/>
          <w:szCs w:val="23"/>
          <w:lang w:val="es-MX"/>
        </w:rPr>
      </w:pPr>
      <w:r w:rsidRPr="0086650B">
        <w:rPr>
          <w:rFonts w:ascii="Times New Roman" w:hAnsi="Times New Roman" w:cs="Times New Roman"/>
          <w:sz w:val="23"/>
          <w:szCs w:val="23"/>
          <w:lang w:val="es-MX"/>
        </w:rPr>
        <w:t xml:space="preserve"> </w:t>
      </w:r>
    </w:p>
    <w:p w14:paraId="331FE08D" w14:textId="6BFCDC29" w:rsidR="00CE2FB5" w:rsidRPr="0086650B" w:rsidRDefault="00A146AE" w:rsidP="007C3A1E">
      <w:pPr>
        <w:spacing w:after="0" w:line="240" w:lineRule="auto"/>
        <w:ind w:right="43"/>
        <w:jc w:val="both"/>
        <w:rPr>
          <w:rFonts w:ascii="Times New Roman" w:hAnsi="Times New Roman" w:cs="Times New Roman"/>
          <w:sz w:val="23"/>
          <w:szCs w:val="23"/>
          <w:lang w:val="es-MX"/>
        </w:rPr>
      </w:pPr>
      <w:r>
        <w:rPr>
          <w:rFonts w:ascii="Times New Roman" w:eastAsia="Times New Roman" w:hAnsi="Times New Roman" w:cs="Times New Roman"/>
          <w:b/>
          <w:sz w:val="23"/>
          <w:szCs w:val="23"/>
          <w:u w:val="single" w:color="000000"/>
          <w:bdr w:val="nil"/>
          <w:lang w:val="es-ES_tradnl"/>
        </w:rPr>
        <w:t>Después de la sentencia</w:t>
      </w:r>
      <w:r>
        <w:rPr>
          <w:rFonts w:ascii="Times New Roman" w:eastAsia="Times New Roman" w:hAnsi="Times New Roman" w:cs="Times New Roman"/>
          <w:sz w:val="23"/>
          <w:szCs w:val="23"/>
          <w:u w:color="000000"/>
          <w:bdr w:val="nil"/>
          <w:lang w:val="es-ES_tradnl"/>
        </w:rPr>
        <w:t xml:space="preserve">   Si el juez le ha otorgado una sentencia al arrendador, este podrá solicitar una </w:t>
      </w:r>
      <w:r w:rsidR="00D77F90">
        <w:rPr>
          <w:rFonts w:ascii="Times New Roman" w:eastAsia="Times New Roman" w:hAnsi="Times New Roman" w:cs="Times New Roman"/>
          <w:sz w:val="23"/>
          <w:szCs w:val="23"/>
          <w:u w:color="000000"/>
          <w:bdr w:val="nil"/>
          <w:lang w:val="es-ES_tradnl"/>
        </w:rPr>
        <w:t>“</w:t>
      </w:r>
      <w:r>
        <w:rPr>
          <w:rFonts w:ascii="Times New Roman" w:eastAsia="Times New Roman" w:hAnsi="Times New Roman" w:cs="Times New Roman"/>
          <w:sz w:val="23"/>
          <w:szCs w:val="23"/>
          <w:u w:color="000000"/>
          <w:bdr w:val="nil"/>
          <w:lang w:val="es-ES_tradnl"/>
        </w:rPr>
        <w:t>orden de restitución</w:t>
      </w:r>
      <w:r w:rsidR="00D77F90">
        <w:rPr>
          <w:rFonts w:ascii="Times New Roman" w:eastAsia="Times New Roman" w:hAnsi="Times New Roman" w:cs="Times New Roman"/>
          <w:sz w:val="23"/>
          <w:szCs w:val="23"/>
          <w:u w:color="000000"/>
          <w:bdr w:val="nil"/>
          <w:lang w:val="es-ES_tradnl"/>
        </w:rPr>
        <w:t>”, la cual se trata de un documento legal que le permite al arrendador</w:t>
      </w:r>
      <w:r>
        <w:rPr>
          <w:rFonts w:ascii="Times New Roman" w:eastAsia="Times New Roman" w:hAnsi="Times New Roman" w:cs="Times New Roman"/>
          <w:sz w:val="23"/>
          <w:szCs w:val="23"/>
          <w:u w:color="000000"/>
          <w:bdr w:val="nil"/>
          <w:lang w:val="es-ES_tradnl"/>
        </w:rPr>
        <w:t xml:space="preserve"> sacar a </w:t>
      </w:r>
      <w:r w:rsidR="00D77F90">
        <w:rPr>
          <w:rFonts w:ascii="Times New Roman" w:eastAsia="Times New Roman" w:hAnsi="Times New Roman" w:cs="Times New Roman"/>
          <w:sz w:val="23"/>
          <w:szCs w:val="23"/>
          <w:u w:color="000000"/>
          <w:bdr w:val="nil"/>
          <w:lang w:val="es-ES_tradnl"/>
        </w:rPr>
        <w:t xml:space="preserve">los inquilinos y todas las demás personas que vivan en la </w:t>
      </w:r>
      <w:r>
        <w:rPr>
          <w:rFonts w:ascii="Times New Roman" w:eastAsia="Times New Roman" w:hAnsi="Times New Roman" w:cs="Times New Roman"/>
          <w:sz w:val="23"/>
          <w:szCs w:val="23"/>
          <w:u w:color="000000"/>
          <w:bdr w:val="nil"/>
          <w:lang w:val="es-ES_tradnl"/>
        </w:rPr>
        <w:t xml:space="preserve"> unidad.  Los auxiliares de justicia (</w:t>
      </w:r>
      <w:r w:rsidRPr="0086650B">
        <w:rPr>
          <w:rFonts w:ascii="Times New Roman" w:eastAsia="Times New Roman" w:hAnsi="Times New Roman" w:cs="Times New Roman"/>
          <w:i/>
          <w:sz w:val="23"/>
          <w:szCs w:val="23"/>
          <w:u w:color="000000"/>
          <w:bdr w:val="nil"/>
          <w:lang w:val="es-ES_tradnl"/>
        </w:rPr>
        <w:t>constables</w:t>
      </w:r>
      <w:r>
        <w:rPr>
          <w:rFonts w:ascii="Times New Roman" w:eastAsia="Times New Roman" w:hAnsi="Times New Roman" w:cs="Times New Roman"/>
          <w:sz w:val="23"/>
          <w:szCs w:val="23"/>
          <w:u w:color="000000"/>
          <w:bdr w:val="nil"/>
          <w:lang w:val="es-ES_tradnl"/>
        </w:rPr>
        <w:t xml:space="preserve">) notifican las órdenes </w:t>
      </w:r>
      <w:r>
        <w:rPr>
          <w:rFonts w:ascii="Times New Roman" w:eastAsia="Times New Roman" w:hAnsi="Times New Roman" w:cs="Times New Roman"/>
          <w:sz w:val="23"/>
          <w:szCs w:val="23"/>
          <w:u w:color="000000"/>
          <w:bdr w:val="nil"/>
          <w:lang w:val="es-ES_tradnl"/>
        </w:rPr>
        <w:lastRenderedPageBreak/>
        <w:t>de restitución y a los residentes les indicarán que tienen que salir de la propiedad. El inquilino puede evitar las dificultades relacionadas con una orden de restitución al desocupar el bien inmueble y devolver las llaves al arrendador, lo que le terminará la posesión de la vivienda al inquilino.  El inquilino tendrá cinco (5) días para desocupar la propiedad a no ser que el juez haya determinado que el inquilino ha incumplido el contrato de alquiler de forma irreparable y sustancial, y en ese caso el inquilino solo tendrá de doce (12) a veinticuatro (24) horas para desocupar la propiedad. Es probable que la sentencia aparezca en el informe de historial crediticio del inquilino durante varios años</w:t>
      </w:r>
      <w:r w:rsidR="00D77F90">
        <w:rPr>
          <w:rFonts w:ascii="Times New Roman" w:eastAsia="Times New Roman" w:hAnsi="Times New Roman" w:cs="Times New Roman"/>
          <w:sz w:val="23"/>
          <w:szCs w:val="23"/>
          <w:u w:color="000000"/>
          <w:bdr w:val="nil"/>
          <w:lang w:val="es-ES_tradnl"/>
        </w:rPr>
        <w:t xml:space="preserve"> y podría ocasionar que se tomen medidas de cobro y ejecución, como, por ejemplo, el embargo de sueldo</w:t>
      </w:r>
      <w:r>
        <w:rPr>
          <w:rFonts w:ascii="Times New Roman" w:eastAsia="Times New Roman" w:hAnsi="Times New Roman" w:cs="Times New Roman"/>
          <w:sz w:val="23"/>
          <w:szCs w:val="23"/>
          <w:u w:color="000000"/>
          <w:bdr w:val="nil"/>
          <w:lang w:val="es-ES_tradnl"/>
        </w:rPr>
        <w:t xml:space="preserve">. Después de que se dicte la sentencia, las partes tienen cinco días para apelarla y podrán obtener los formularios e información en el mostrador del tribunal. Si el inquilino quiere quedarse en la vivienda alquilada durante la apelación, deberá también pagar </w:t>
      </w:r>
      <w:r>
        <w:rPr>
          <w:rFonts w:ascii="Times New Roman" w:eastAsia="Times New Roman" w:hAnsi="Times New Roman" w:cs="Times New Roman"/>
          <w:color w:val="212121"/>
          <w:sz w:val="23"/>
          <w:szCs w:val="23"/>
          <w:u w:color="000000"/>
          <w:bdr w:val="nil"/>
          <w:lang w:val="es-ES_tradnl"/>
        </w:rPr>
        <w:t>la fianza correspondiente y seguir pagando el alquiler en el tribunal conforme se venza</w:t>
      </w:r>
      <w:r>
        <w:rPr>
          <w:rFonts w:ascii="Times New Roman" w:eastAsia="Times New Roman" w:hAnsi="Times New Roman" w:cs="Times New Roman"/>
          <w:sz w:val="23"/>
          <w:szCs w:val="23"/>
          <w:u w:color="000000"/>
          <w:bdr w:val="nil"/>
          <w:lang w:val="es-ES_tradnl"/>
        </w:rPr>
        <w:t xml:space="preserve">. Si </w:t>
      </w:r>
      <w:r w:rsidR="0086650B">
        <w:rPr>
          <w:rFonts w:ascii="Times New Roman" w:eastAsia="Times New Roman" w:hAnsi="Times New Roman" w:cs="Times New Roman"/>
          <w:sz w:val="23"/>
          <w:szCs w:val="23"/>
          <w:u w:color="000000"/>
          <w:bdr w:val="nil"/>
          <w:lang w:val="es-ES_tradnl"/>
        </w:rPr>
        <w:t>la opinión del tribunal fuera favorable para el</w:t>
      </w:r>
      <w:r>
        <w:rPr>
          <w:rFonts w:ascii="Times New Roman" w:eastAsia="Times New Roman" w:hAnsi="Times New Roman" w:cs="Times New Roman"/>
          <w:sz w:val="23"/>
          <w:szCs w:val="23"/>
          <w:u w:color="000000"/>
          <w:bdr w:val="nil"/>
          <w:lang w:val="es-ES_tradnl"/>
        </w:rPr>
        <w:t xml:space="preserve"> inquilino, el juez </w:t>
      </w:r>
      <w:r w:rsidR="00D77F90">
        <w:rPr>
          <w:rFonts w:ascii="Times New Roman" w:eastAsia="Times New Roman" w:hAnsi="Times New Roman" w:cs="Times New Roman"/>
          <w:sz w:val="23"/>
          <w:szCs w:val="23"/>
          <w:u w:color="000000"/>
          <w:bdr w:val="nil"/>
          <w:lang w:val="es-ES_tradnl"/>
        </w:rPr>
        <w:t xml:space="preserve">podría </w:t>
      </w:r>
      <w:r>
        <w:rPr>
          <w:rFonts w:ascii="Times New Roman" w:eastAsia="Times New Roman" w:hAnsi="Times New Roman" w:cs="Times New Roman"/>
          <w:sz w:val="23"/>
          <w:szCs w:val="23"/>
          <w:u w:color="000000"/>
          <w:bdr w:val="nil"/>
          <w:lang w:val="es-ES_tradnl"/>
        </w:rPr>
        <w:t>desestimar el caso</w:t>
      </w:r>
      <w:r w:rsidR="00D77F90">
        <w:rPr>
          <w:rFonts w:ascii="Times New Roman" w:eastAsia="Times New Roman" w:hAnsi="Times New Roman" w:cs="Times New Roman"/>
          <w:sz w:val="23"/>
          <w:szCs w:val="23"/>
          <w:u w:color="000000"/>
          <w:bdr w:val="nil"/>
          <w:lang w:val="es-ES_tradnl"/>
        </w:rPr>
        <w:t xml:space="preserve"> o tomar otras medidas como ordenar que se celebre otra audiencia o dictar una nueva sentencia</w:t>
      </w:r>
      <w:r>
        <w:rPr>
          <w:rFonts w:ascii="Times New Roman" w:eastAsia="Times New Roman" w:hAnsi="Times New Roman" w:cs="Times New Roman"/>
          <w:sz w:val="23"/>
          <w:szCs w:val="23"/>
          <w:u w:color="000000"/>
          <w:bdr w:val="nil"/>
          <w:lang w:val="es-ES_tradnl"/>
        </w:rPr>
        <w:t xml:space="preserve">. </w:t>
      </w:r>
      <w:r>
        <w:rPr>
          <w:rFonts w:ascii="Times New Roman" w:eastAsia="Times New Roman" w:hAnsi="Times New Roman" w:cs="Times New Roman"/>
          <w:color w:val="212121"/>
          <w:sz w:val="23"/>
          <w:szCs w:val="23"/>
          <w:u w:color="000000"/>
          <w:bdr w:val="nil"/>
          <w:lang w:val="es-ES_tradnl"/>
        </w:rPr>
        <w:t>Sin una apelación, el inquilino necesitará la aprobación del arrendador y tendrá que firmar un contrato de alquiler nuevo para seguir viviendo en la propiedad.</w:t>
      </w:r>
    </w:p>
    <w:p w14:paraId="68F63FEF" w14:textId="4CCC2961" w:rsidR="00CE2FB5" w:rsidRPr="0086650B" w:rsidRDefault="00A146AE" w:rsidP="007C3A1E">
      <w:pPr>
        <w:spacing w:after="0" w:line="240" w:lineRule="auto"/>
        <w:ind w:right="43"/>
        <w:jc w:val="both"/>
        <w:rPr>
          <w:rFonts w:ascii="Times New Roman" w:hAnsi="Times New Roman" w:cs="Times New Roman"/>
          <w:sz w:val="20"/>
          <w:szCs w:val="23"/>
          <w:lang w:val="es-MX"/>
        </w:rPr>
      </w:pPr>
      <w:r w:rsidRPr="0086650B">
        <w:rPr>
          <w:rFonts w:ascii="Times New Roman" w:hAnsi="Times New Roman" w:cs="Times New Roman"/>
          <w:sz w:val="23"/>
          <w:szCs w:val="23"/>
          <w:lang w:val="es-MX"/>
        </w:rPr>
        <w:t xml:space="preserve"> </w:t>
      </w:r>
    </w:p>
    <w:p w14:paraId="49FFB54D" w14:textId="0E5E6ECE" w:rsidR="00CE2FB5" w:rsidRPr="0086650B" w:rsidRDefault="00A146AE" w:rsidP="00B73688">
      <w:pPr>
        <w:spacing w:after="0" w:line="240" w:lineRule="auto"/>
        <w:ind w:right="43"/>
        <w:jc w:val="both"/>
        <w:rPr>
          <w:rFonts w:ascii="Times New Roman" w:hAnsi="Times New Roman" w:cs="Times New Roman"/>
          <w:lang w:val="es-MX"/>
        </w:rPr>
      </w:pPr>
      <w:r>
        <w:rPr>
          <w:rFonts w:ascii="Times New Roman" w:eastAsia="Times New Roman" w:hAnsi="Times New Roman" w:cs="Times New Roman"/>
          <w:b/>
          <w:sz w:val="23"/>
          <w:szCs w:val="23"/>
          <w:u w:val="single" w:color="000000"/>
          <w:bdr w:val="nil"/>
          <w:lang w:val="es-ES_tradnl"/>
        </w:rPr>
        <w:t>Otras fuentes de información</w:t>
      </w:r>
      <w:r>
        <w:rPr>
          <w:rFonts w:ascii="Times New Roman" w:eastAsia="Times New Roman" w:hAnsi="Times New Roman" w:cs="Times New Roman"/>
          <w:sz w:val="23"/>
          <w:szCs w:val="23"/>
          <w:u w:color="000000"/>
          <w:bdr w:val="nil"/>
          <w:lang w:val="es-ES_tradnl"/>
        </w:rPr>
        <w:t xml:space="preserve">    Usted puede obtener copias de la Ley de arrendadores e inquilinos de viviendas de Arizona, la Ley de arrendadores e inquilinos en parques para casas rodantes de Arizona, la Ley de parcelas alquiladas a largo plazo para vehículos de uso recreativo de Arizona de una biblioteca o desde </w:t>
      </w:r>
      <w:r>
        <w:rPr>
          <w:rFonts w:ascii="Times New Roman" w:eastAsia="Times New Roman" w:hAnsi="Times New Roman" w:cs="Times New Roman"/>
          <w:color w:val="212121"/>
          <w:sz w:val="23"/>
          <w:szCs w:val="23"/>
          <w:u w:color="000000"/>
          <w:bdr w:val="nil"/>
          <w:lang w:val="es-ES_tradnl"/>
        </w:rPr>
        <w:t xml:space="preserve">los vínculos en la página web de acciones de desalojo del Poder Judicial, </w:t>
      </w:r>
      <w:hyperlink r:id="rId9" w:history="1">
        <w:r>
          <w:rPr>
            <w:rFonts w:ascii="Times New Roman" w:eastAsia="Times New Roman" w:hAnsi="Times New Roman" w:cs="Times New Roman"/>
            <w:color w:val="0563C1"/>
            <w:sz w:val="23"/>
            <w:szCs w:val="23"/>
            <w:u w:val="single" w:color="000000"/>
            <w:bdr w:val="nil"/>
            <w:lang w:val="es-ES_tradnl"/>
          </w:rPr>
          <w:t>https://www.azcourts.gov/eviction</w:t>
        </w:r>
      </w:hyperlink>
      <w:r>
        <w:rPr>
          <w:rFonts w:ascii="Times New Roman" w:eastAsia="Times New Roman" w:hAnsi="Times New Roman" w:cs="Times New Roman"/>
          <w:color w:val="212121"/>
          <w:sz w:val="23"/>
          <w:szCs w:val="23"/>
          <w:u w:color="000000"/>
          <w:bdr w:val="nil"/>
          <w:lang w:val="es-ES_tradnl"/>
        </w:rPr>
        <w:t xml:space="preserve">. Para obtener información sobre el proceso de las acciones de desalojo en vivienda, diríjase a:  </w:t>
      </w:r>
      <w:hyperlink r:id="rId10" w:history="1">
        <w:r>
          <w:rPr>
            <w:rFonts w:ascii="Times New Roman" w:eastAsia="Times New Roman" w:hAnsi="Times New Roman" w:cs="Times New Roman"/>
            <w:color w:val="0563C1"/>
            <w:sz w:val="23"/>
            <w:szCs w:val="23"/>
            <w:u w:val="single" w:color="000000"/>
            <w:bdr w:val="nil"/>
            <w:lang w:val="es-ES_tradnl"/>
          </w:rPr>
          <w:t>https://www.azcourthelp.org</w:t>
        </w:r>
      </w:hyperlink>
      <w:r>
        <w:rPr>
          <w:rFonts w:ascii="Times New Roman" w:eastAsia="Times New Roman" w:hAnsi="Times New Roman" w:cs="Times New Roman"/>
          <w:color w:val="212121"/>
          <w:sz w:val="23"/>
          <w:szCs w:val="23"/>
          <w:u w:color="000000"/>
          <w:bdr w:val="nil"/>
          <w:lang w:val="es-ES_tradnl"/>
        </w:rPr>
        <w:t>.</w:t>
      </w:r>
      <w:r w:rsidR="00D77F90" w:rsidRPr="00E97966">
        <w:rPr>
          <w:rFonts w:ascii="Times New Roman" w:eastAsia="Times New Roman" w:hAnsi="Times New Roman" w:cs="Times New Roman"/>
          <w:color w:val="212121"/>
          <w:sz w:val="23"/>
          <w:szCs w:val="23"/>
          <w:u w:color="000000"/>
          <w:bdr w:val="nil"/>
          <w:lang w:val="es-ES"/>
        </w:rPr>
        <w:t xml:space="preserve"> </w:t>
      </w:r>
      <w:r w:rsidR="00D77F90" w:rsidRPr="00E73D41">
        <w:rPr>
          <w:rFonts w:ascii="Times New Roman" w:eastAsia="Times New Roman" w:hAnsi="Times New Roman" w:cs="Times New Roman"/>
          <w:color w:val="212121"/>
          <w:sz w:val="23"/>
          <w:szCs w:val="23"/>
          <w:u w:color="000000"/>
          <w:bdr w:val="nil"/>
          <w:lang w:val="es-ES"/>
        </w:rPr>
        <w:t xml:space="preserve"> </w:t>
      </w:r>
      <w:r w:rsidR="00D77F90" w:rsidRPr="00E97966">
        <w:rPr>
          <w:rFonts w:ascii="Times New Roman" w:eastAsia="Times New Roman" w:hAnsi="Times New Roman" w:cs="Times New Roman"/>
          <w:color w:val="212121"/>
          <w:sz w:val="23"/>
          <w:szCs w:val="23"/>
          <w:u w:color="000000"/>
          <w:bdr w:val="nil"/>
          <w:lang w:val="es-ES"/>
        </w:rPr>
        <w:t>Par</w:t>
      </w:r>
      <w:r w:rsidR="00D77F90">
        <w:rPr>
          <w:rFonts w:ascii="Times New Roman" w:eastAsia="Times New Roman" w:hAnsi="Times New Roman" w:cs="Times New Roman"/>
          <w:color w:val="212121"/>
          <w:sz w:val="23"/>
          <w:szCs w:val="23"/>
          <w:u w:color="000000"/>
          <w:bdr w:val="nil"/>
          <w:lang w:val="es-ES"/>
        </w:rPr>
        <w:t xml:space="preserve">a obtener información sobre servicios jurídicos, incluyendo el servicio de referencia de abogados, diríjase a: </w:t>
      </w:r>
      <w:hyperlink r:id="rId11" w:history="1">
        <w:r w:rsidR="00D77F90" w:rsidRPr="00E97966">
          <w:rPr>
            <w:rStyle w:val="Hyperlink"/>
            <w:rFonts w:ascii="Times New Roman" w:eastAsia="Times New Roman" w:hAnsi="Times New Roman" w:cs="Times New Roman"/>
            <w:sz w:val="23"/>
            <w:szCs w:val="23"/>
            <w:bdr w:val="nil"/>
            <w:lang w:val="es-ES"/>
          </w:rPr>
          <w:t>https://www.azcourthelp.org/home/legalaid-resources</w:t>
        </w:r>
      </w:hyperlink>
      <w:r w:rsidR="00D77F90">
        <w:rPr>
          <w:rFonts w:ascii="Times New Roman" w:eastAsia="Times New Roman" w:hAnsi="Times New Roman" w:cs="Times New Roman"/>
          <w:color w:val="212121"/>
          <w:sz w:val="23"/>
          <w:szCs w:val="23"/>
          <w:bdr w:val="nil"/>
          <w:lang w:val="es-ES"/>
        </w:rPr>
        <w:t>. Para información</w:t>
      </w:r>
      <w:r w:rsidR="00605EB5">
        <w:rPr>
          <w:rFonts w:ascii="Times New Roman" w:eastAsia="Times New Roman" w:hAnsi="Times New Roman" w:cs="Times New Roman"/>
          <w:color w:val="212121"/>
          <w:sz w:val="23"/>
          <w:szCs w:val="23"/>
          <w:bdr w:val="nil"/>
          <w:lang w:val="es-ES"/>
        </w:rPr>
        <w:t xml:space="preserve"> adicional, i</w:t>
      </w:r>
      <w:r w:rsidR="00D77F90">
        <w:rPr>
          <w:rFonts w:ascii="Times New Roman" w:eastAsia="Times New Roman" w:hAnsi="Times New Roman" w:cs="Times New Roman"/>
          <w:color w:val="212121"/>
          <w:sz w:val="23"/>
          <w:szCs w:val="23"/>
          <w:bdr w:val="nil"/>
          <w:lang w:val="es-ES"/>
        </w:rPr>
        <w:t>ncluyendo un enlace</w:t>
      </w:r>
      <w:r w:rsidR="00E73D41">
        <w:rPr>
          <w:rFonts w:ascii="Times New Roman" w:eastAsia="Times New Roman" w:hAnsi="Times New Roman" w:cs="Times New Roman"/>
          <w:color w:val="212121"/>
          <w:sz w:val="23"/>
          <w:szCs w:val="23"/>
          <w:bdr w:val="nil"/>
          <w:lang w:val="es-ES"/>
        </w:rPr>
        <w:t xml:space="preserve"> con una lista de</w:t>
      </w:r>
      <w:r w:rsidR="00FF6A4E">
        <w:rPr>
          <w:rFonts w:ascii="Times New Roman" w:eastAsia="Times New Roman" w:hAnsi="Times New Roman" w:cs="Times New Roman"/>
          <w:color w:val="212121"/>
          <w:sz w:val="23"/>
          <w:szCs w:val="23"/>
          <w:bdr w:val="nil"/>
          <w:lang w:val="es-ES"/>
        </w:rPr>
        <w:t xml:space="preserve"> </w:t>
      </w:r>
      <w:proofErr w:type="spellStart"/>
      <w:r w:rsidR="00FF6A4E">
        <w:rPr>
          <w:rFonts w:ascii="Times New Roman" w:eastAsia="Times New Roman" w:hAnsi="Times New Roman" w:cs="Times New Roman"/>
          <w:color w:val="212121"/>
          <w:sz w:val="23"/>
          <w:szCs w:val="23"/>
          <w:bdr w:val="nil"/>
          <w:lang w:val="es-ES"/>
        </w:rPr>
        <w:t>p</w:t>
      </w:r>
      <w:r w:rsidR="00605EB5">
        <w:rPr>
          <w:rFonts w:ascii="Times New Roman" w:eastAsia="Times New Roman" w:hAnsi="Times New Roman" w:cs="Times New Roman"/>
          <w:color w:val="212121"/>
          <w:sz w:val="23"/>
          <w:szCs w:val="23"/>
          <w:bdr w:val="nil"/>
          <w:lang w:val="es-ES"/>
        </w:rPr>
        <w:t>arap</w:t>
      </w:r>
      <w:r w:rsidR="00FF6A4E">
        <w:rPr>
          <w:rFonts w:ascii="Times New Roman" w:eastAsia="Times New Roman" w:hAnsi="Times New Roman" w:cs="Times New Roman"/>
          <w:color w:val="212121"/>
          <w:sz w:val="23"/>
          <w:szCs w:val="23"/>
          <w:bdr w:val="nil"/>
          <w:lang w:val="es-ES"/>
        </w:rPr>
        <w:t>rofesionales</w:t>
      </w:r>
      <w:proofErr w:type="spellEnd"/>
      <w:r w:rsidR="00605EB5">
        <w:rPr>
          <w:rFonts w:ascii="Times New Roman" w:eastAsia="Times New Roman" w:hAnsi="Times New Roman" w:cs="Times New Roman"/>
          <w:color w:val="212121"/>
          <w:sz w:val="23"/>
          <w:szCs w:val="23"/>
          <w:bdr w:val="nil"/>
          <w:lang w:val="es-ES"/>
        </w:rPr>
        <w:t xml:space="preserve"> legales acreditados</w:t>
      </w:r>
      <w:r w:rsidR="00E73D41">
        <w:rPr>
          <w:rFonts w:ascii="Times New Roman" w:eastAsia="Times New Roman" w:hAnsi="Times New Roman" w:cs="Times New Roman"/>
          <w:color w:val="212121"/>
          <w:sz w:val="23"/>
          <w:szCs w:val="23"/>
          <w:bdr w:val="nil"/>
          <w:lang w:val="es-ES"/>
        </w:rPr>
        <w:t>, diríjase a:</w:t>
      </w:r>
      <w:r w:rsidR="00FF6A4E" w:rsidRPr="00E97966">
        <w:rPr>
          <w:rFonts w:ascii="Times New Roman" w:hAnsi="Times New Roman" w:cs="Times New Roman"/>
          <w:color w:val="212121"/>
          <w:spacing w:val="-6"/>
          <w:sz w:val="23"/>
          <w:szCs w:val="23"/>
          <w:lang w:val="es-ES"/>
        </w:rPr>
        <w:t xml:space="preserve"> </w:t>
      </w:r>
      <w:hyperlink r:id="rId12" w:history="1">
        <w:r w:rsidR="00FF6A4E" w:rsidRPr="00E97966">
          <w:rPr>
            <w:rStyle w:val="Hyperlink"/>
            <w:rFonts w:ascii="Times New Roman" w:eastAsia="Times New Roman" w:hAnsi="Times New Roman" w:cs="Times New Roman"/>
            <w:sz w:val="23"/>
            <w:szCs w:val="23"/>
            <w:bdr w:val="nil"/>
            <w:lang w:val="es-ES"/>
          </w:rPr>
          <w:t>https://www.azcourts.gov/cld/Legal-Paraprofessional</w:t>
        </w:r>
      </w:hyperlink>
      <w:r w:rsidR="00FF6A4E" w:rsidRPr="00E97966">
        <w:rPr>
          <w:rFonts w:ascii="Times New Roman" w:eastAsia="Times New Roman" w:hAnsi="Times New Roman" w:cs="Times New Roman"/>
          <w:color w:val="212121"/>
          <w:sz w:val="23"/>
          <w:szCs w:val="23"/>
          <w:bdr w:val="nil"/>
          <w:lang w:val="es-ES"/>
        </w:rPr>
        <w:t>.</w:t>
      </w:r>
    </w:p>
    <w:sectPr w:rsidR="00CE2FB5" w:rsidRPr="0086650B" w:rsidSect="00664271">
      <w:headerReference w:type="even" r:id="rId13"/>
      <w:headerReference w:type="default" r:id="rId14"/>
      <w:footerReference w:type="even" r:id="rId15"/>
      <w:footerReference w:type="default" r:id="rId16"/>
      <w:headerReference w:type="first" r:id="rId17"/>
      <w:footerReference w:type="first" r:id="rId18"/>
      <w:pgSz w:w="12240" w:h="15840"/>
      <w:pgMar w:top="720" w:right="1080" w:bottom="720" w:left="108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DCF2AC" w14:textId="77777777" w:rsidR="002E07E7" w:rsidRDefault="002E07E7">
      <w:pPr>
        <w:spacing w:after="0" w:line="240" w:lineRule="auto"/>
      </w:pPr>
      <w:r>
        <w:separator/>
      </w:r>
    </w:p>
  </w:endnote>
  <w:endnote w:type="continuationSeparator" w:id="0">
    <w:p w14:paraId="090E85F8" w14:textId="77777777" w:rsidR="002E07E7" w:rsidRDefault="002E07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849C6" w14:textId="77777777" w:rsidR="007F34D1" w:rsidRDefault="007F34D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51D425" w14:textId="77777777" w:rsidR="00664271" w:rsidRDefault="00664271" w:rsidP="007C3A1E">
    <w:pPr>
      <w:pStyle w:val="Footer"/>
      <w:rPr>
        <w:rFonts w:ascii="Times New Roman" w:eastAsia="Times New Roman" w:hAnsi="Times New Roman" w:cs="Times New Roman"/>
        <w:sz w:val="16"/>
        <w:szCs w:val="16"/>
        <w:bdr w:val="nil"/>
      </w:rPr>
    </w:pPr>
  </w:p>
  <w:p w14:paraId="15E6806D" w14:textId="2B8B76B4" w:rsidR="00CE2FB5" w:rsidRDefault="00A146AE" w:rsidP="007C3A1E">
    <w:pPr>
      <w:pStyle w:val="Footer"/>
      <w:rPr>
        <w:rFonts w:ascii="Times New Roman" w:eastAsia="Times New Roman" w:hAnsi="Times New Roman" w:cs="Times New Roman"/>
        <w:sz w:val="16"/>
        <w:szCs w:val="16"/>
        <w:bdr w:val="nil"/>
      </w:rPr>
    </w:pPr>
    <w:r w:rsidRPr="0086650B">
      <w:rPr>
        <w:rFonts w:ascii="Times New Roman" w:eastAsia="Times New Roman" w:hAnsi="Times New Roman" w:cs="Times New Roman"/>
        <w:sz w:val="16"/>
        <w:szCs w:val="16"/>
        <w:bdr w:val="nil"/>
      </w:rPr>
      <w:t>Arizona Supreme Court</w:t>
    </w:r>
    <w:r>
      <w:ptab w:relativeTo="margin" w:alignment="center" w:leader="none"/>
    </w:r>
    <w:r w:rsidRPr="0086650B">
      <w:rPr>
        <w:rFonts w:ascii="Times New Roman" w:eastAsia="Times New Roman" w:hAnsi="Times New Roman" w:cs="Times New Roman"/>
        <w:sz w:val="16"/>
        <w:szCs w:val="16"/>
        <w:bdr w:val="nil"/>
      </w:rPr>
      <w:t xml:space="preserve">Page </w:t>
    </w:r>
    <w:r w:rsidRPr="00C665E5">
      <w:rPr>
        <w:rFonts w:ascii="Times New Roman" w:hAnsi="Times New Roman" w:cs="Times New Roman"/>
        <w:bCs/>
        <w:sz w:val="16"/>
      </w:rPr>
      <w:fldChar w:fldCharType="begin"/>
    </w:r>
    <w:r w:rsidRPr="00C665E5">
      <w:rPr>
        <w:rFonts w:ascii="Times New Roman" w:hAnsi="Times New Roman" w:cs="Times New Roman"/>
        <w:bCs/>
        <w:sz w:val="16"/>
      </w:rPr>
      <w:instrText xml:space="preserve"> PAGE  \* Arabic  \* MERGEFORMAT </w:instrText>
    </w:r>
    <w:r w:rsidRPr="00C665E5">
      <w:rPr>
        <w:rFonts w:ascii="Times New Roman" w:hAnsi="Times New Roman" w:cs="Times New Roman"/>
        <w:bCs/>
        <w:sz w:val="16"/>
      </w:rPr>
      <w:fldChar w:fldCharType="separate"/>
    </w:r>
    <w:r>
      <w:rPr>
        <w:rFonts w:ascii="Times New Roman" w:hAnsi="Times New Roman" w:cs="Times New Roman"/>
        <w:bCs/>
        <w:sz w:val="16"/>
      </w:rPr>
      <w:t>1</w:t>
    </w:r>
    <w:r w:rsidRPr="00C665E5">
      <w:rPr>
        <w:rFonts w:ascii="Times New Roman" w:hAnsi="Times New Roman" w:cs="Times New Roman"/>
        <w:bCs/>
        <w:sz w:val="16"/>
      </w:rPr>
      <w:fldChar w:fldCharType="end"/>
    </w:r>
    <w:r w:rsidRPr="0086650B">
      <w:rPr>
        <w:rFonts w:ascii="Times New Roman" w:eastAsia="Times New Roman" w:hAnsi="Times New Roman" w:cs="Times New Roman"/>
        <w:sz w:val="16"/>
        <w:szCs w:val="16"/>
        <w:bdr w:val="nil"/>
      </w:rPr>
      <w:t xml:space="preserve"> of </w:t>
    </w:r>
    <w:r w:rsidRPr="00C665E5">
      <w:rPr>
        <w:rFonts w:ascii="Times New Roman" w:hAnsi="Times New Roman" w:cs="Times New Roman"/>
        <w:bCs/>
        <w:sz w:val="16"/>
      </w:rPr>
      <w:fldChar w:fldCharType="begin"/>
    </w:r>
    <w:r w:rsidRPr="00C665E5">
      <w:rPr>
        <w:rFonts w:ascii="Times New Roman" w:hAnsi="Times New Roman" w:cs="Times New Roman"/>
        <w:bCs/>
        <w:sz w:val="16"/>
      </w:rPr>
      <w:instrText xml:space="preserve"> NUMPAGES  \* Arabic  \* MERGEFORMAT </w:instrText>
    </w:r>
    <w:r w:rsidRPr="00C665E5">
      <w:rPr>
        <w:rFonts w:ascii="Times New Roman" w:hAnsi="Times New Roman" w:cs="Times New Roman"/>
        <w:bCs/>
        <w:sz w:val="16"/>
      </w:rPr>
      <w:fldChar w:fldCharType="separate"/>
    </w:r>
    <w:r>
      <w:rPr>
        <w:rFonts w:ascii="Times New Roman" w:hAnsi="Times New Roman" w:cs="Times New Roman"/>
        <w:bCs/>
        <w:sz w:val="16"/>
      </w:rPr>
      <w:t>1</w:t>
    </w:r>
    <w:r w:rsidRPr="00C665E5">
      <w:rPr>
        <w:rFonts w:ascii="Times New Roman" w:hAnsi="Times New Roman" w:cs="Times New Roman"/>
        <w:bCs/>
        <w:sz w:val="16"/>
      </w:rPr>
      <w:fldChar w:fldCharType="end"/>
    </w:r>
    <w:r>
      <w:ptab w:relativeTo="margin" w:alignment="right" w:leader="none"/>
    </w:r>
    <w:r w:rsidRPr="0086650B">
      <w:rPr>
        <w:rFonts w:ascii="Times New Roman" w:eastAsia="Times New Roman" w:hAnsi="Times New Roman" w:cs="Times New Roman"/>
        <w:sz w:val="16"/>
        <w:szCs w:val="16"/>
        <w:bdr w:val="nil"/>
      </w:rPr>
      <w:t>AOCLJEA3F</w:t>
    </w:r>
    <w:r w:rsidR="00664271">
      <w:rPr>
        <w:rFonts w:ascii="Times New Roman" w:eastAsia="Times New Roman" w:hAnsi="Times New Roman" w:cs="Times New Roman"/>
        <w:sz w:val="16"/>
        <w:szCs w:val="16"/>
        <w:bdr w:val="nil"/>
      </w:rPr>
      <w:t>S</w:t>
    </w:r>
    <w:r w:rsidRPr="0086650B">
      <w:rPr>
        <w:rFonts w:ascii="Times New Roman" w:eastAsia="Times New Roman" w:hAnsi="Times New Roman" w:cs="Times New Roman"/>
        <w:sz w:val="16"/>
        <w:szCs w:val="16"/>
        <w:bdr w:val="nil"/>
      </w:rPr>
      <w:t>-</w:t>
    </w:r>
    <w:r w:rsidR="00B3566C">
      <w:rPr>
        <w:rFonts w:ascii="Times New Roman" w:eastAsia="Times New Roman" w:hAnsi="Times New Roman" w:cs="Times New Roman"/>
        <w:sz w:val="16"/>
        <w:szCs w:val="16"/>
        <w:bdr w:val="nil"/>
      </w:rPr>
      <w:t>01012</w:t>
    </w:r>
    <w:r w:rsidR="00CE2FB5">
      <w:rPr>
        <w:rFonts w:ascii="Times New Roman" w:eastAsia="Times New Roman" w:hAnsi="Times New Roman" w:cs="Times New Roman"/>
        <w:sz w:val="16"/>
        <w:szCs w:val="16"/>
        <w:bdr w:val="nil"/>
      </w:rPr>
      <w:t>5</w:t>
    </w:r>
  </w:p>
  <w:p w14:paraId="139985F2" w14:textId="0BEF2F66" w:rsidR="00664271" w:rsidRPr="007C3A1E" w:rsidRDefault="00664271" w:rsidP="007C3A1E">
    <w:pPr>
      <w:pStyle w:val="Footer"/>
      <w:rPr>
        <w:rFonts w:ascii="Times New Roman" w:hAnsi="Times New Roman" w:cs="Times New Roman"/>
        <w:sz w:val="16"/>
      </w:rPr>
    </w:pPr>
    <w:r>
      <w:rPr>
        <w:rFonts w:ascii="Times New Roman" w:eastAsia="Times New Roman" w:hAnsi="Times New Roman" w:cs="Times New Roman"/>
        <w:sz w:val="16"/>
        <w:szCs w:val="16"/>
        <w:bdr w:val="nil"/>
      </w:rPr>
      <w:t>Residential Eviction Information Sheet (REIS)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27ADCD" w14:textId="77777777" w:rsidR="007F34D1" w:rsidRDefault="007F34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DD8616" w14:textId="77777777" w:rsidR="002E07E7" w:rsidRDefault="002E07E7">
      <w:pPr>
        <w:spacing w:after="0" w:line="240" w:lineRule="auto"/>
      </w:pPr>
      <w:r>
        <w:separator/>
      </w:r>
    </w:p>
  </w:footnote>
  <w:footnote w:type="continuationSeparator" w:id="0">
    <w:p w14:paraId="7F9773AE" w14:textId="77777777" w:rsidR="002E07E7" w:rsidRDefault="002E07E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ED7671" w14:textId="77777777" w:rsidR="007F34D1" w:rsidRDefault="007F34D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0D76E" w14:textId="77777777" w:rsidR="007F34D1" w:rsidRDefault="007F34D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CC370" w14:textId="77777777" w:rsidR="007F34D1" w:rsidRDefault="007F34D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650B"/>
    <w:rsid w:val="0001079B"/>
    <w:rsid w:val="00024745"/>
    <w:rsid w:val="00101E67"/>
    <w:rsid w:val="00106B6F"/>
    <w:rsid w:val="00185CE1"/>
    <w:rsid w:val="001C5EE2"/>
    <w:rsid w:val="002D2739"/>
    <w:rsid w:val="002E07E7"/>
    <w:rsid w:val="00347458"/>
    <w:rsid w:val="003A0477"/>
    <w:rsid w:val="003D50C0"/>
    <w:rsid w:val="004C7C21"/>
    <w:rsid w:val="00523759"/>
    <w:rsid w:val="0053258E"/>
    <w:rsid w:val="00605EB5"/>
    <w:rsid w:val="00664271"/>
    <w:rsid w:val="006D001B"/>
    <w:rsid w:val="00783787"/>
    <w:rsid w:val="007C64B6"/>
    <w:rsid w:val="007F34D1"/>
    <w:rsid w:val="0086650B"/>
    <w:rsid w:val="00882D9E"/>
    <w:rsid w:val="00972A0B"/>
    <w:rsid w:val="009D5375"/>
    <w:rsid w:val="00A146AE"/>
    <w:rsid w:val="00AA26D6"/>
    <w:rsid w:val="00B3566C"/>
    <w:rsid w:val="00B507E5"/>
    <w:rsid w:val="00BD10C6"/>
    <w:rsid w:val="00BF560C"/>
    <w:rsid w:val="00C75713"/>
    <w:rsid w:val="00CE2FB5"/>
    <w:rsid w:val="00CF5B2A"/>
    <w:rsid w:val="00D60ED8"/>
    <w:rsid w:val="00D77F90"/>
    <w:rsid w:val="00E73D41"/>
    <w:rsid w:val="00E97966"/>
    <w:rsid w:val="00FF6A4E"/>
    <w:rsid w:val="145DB8FE"/>
    <w:rsid w:val="553AE301"/>
    <w:rsid w:val="6F103D20"/>
    <w:rsid w:val="7445F8AC"/>
    <w:rsid w:val="74540F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34ED8F"/>
  <w15:docId w15:val="{5D62F42C-55D8-4A4C-A1C8-8BE71801C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7C3A1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C3A1E"/>
    <w:rPr>
      <w:color w:val="0563C1" w:themeColor="hyperlink"/>
      <w:u w:val="single"/>
    </w:rPr>
  </w:style>
  <w:style w:type="paragraph" w:styleId="Header">
    <w:name w:val="header"/>
    <w:basedOn w:val="Normal"/>
    <w:link w:val="HeaderChar"/>
    <w:uiPriority w:val="99"/>
    <w:unhideWhenUsed/>
    <w:rsid w:val="007C3A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3A1E"/>
  </w:style>
  <w:style w:type="paragraph" w:styleId="Footer">
    <w:name w:val="footer"/>
    <w:basedOn w:val="Normal"/>
    <w:link w:val="FooterChar"/>
    <w:uiPriority w:val="99"/>
    <w:unhideWhenUsed/>
    <w:rsid w:val="007C3A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3A1E"/>
  </w:style>
  <w:style w:type="character" w:styleId="Strong">
    <w:name w:val="Strong"/>
    <w:basedOn w:val="DefaultParagraphFont"/>
    <w:uiPriority w:val="22"/>
    <w:qFormat/>
    <w:rsid w:val="007C3A1E"/>
    <w:rPr>
      <w:b/>
      <w:bCs/>
    </w:rPr>
  </w:style>
  <w:style w:type="paragraph" w:styleId="BalloonText">
    <w:name w:val="Balloon Text"/>
    <w:basedOn w:val="Normal"/>
    <w:link w:val="BalloonTextChar"/>
    <w:uiPriority w:val="99"/>
    <w:semiHidden/>
    <w:unhideWhenUsed/>
    <w:rsid w:val="00CF5B2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5B2A"/>
    <w:rPr>
      <w:rFonts w:ascii="Segoe UI" w:hAnsi="Segoe UI" w:cs="Segoe UI"/>
      <w:sz w:val="18"/>
      <w:szCs w:val="18"/>
    </w:rPr>
  </w:style>
  <w:style w:type="paragraph" w:styleId="Revision">
    <w:name w:val="Revision"/>
    <w:hidden/>
    <w:uiPriority w:val="99"/>
    <w:semiHidden/>
    <w:rsid w:val="00972A0B"/>
    <w:pPr>
      <w:spacing w:after="0" w:line="240" w:lineRule="auto"/>
    </w:pPr>
  </w:style>
  <w:style w:type="character" w:styleId="UnresolvedMention">
    <w:name w:val="Unresolved Mention"/>
    <w:basedOn w:val="DefaultParagraphFont"/>
    <w:uiPriority w:val="99"/>
    <w:rsid w:val="00D77F90"/>
    <w:rPr>
      <w:color w:val="605E5C"/>
      <w:shd w:val="clear" w:color="auto" w:fill="E1DFDD"/>
    </w:rPr>
  </w:style>
  <w:style w:type="character" w:styleId="CommentReference">
    <w:name w:val="annotation reference"/>
    <w:basedOn w:val="DefaultParagraphFont"/>
    <w:uiPriority w:val="99"/>
    <w:semiHidden/>
    <w:unhideWhenUsed/>
    <w:rsid w:val="00523759"/>
    <w:rPr>
      <w:sz w:val="16"/>
      <w:szCs w:val="16"/>
    </w:rPr>
  </w:style>
  <w:style w:type="paragraph" w:styleId="CommentText">
    <w:name w:val="annotation text"/>
    <w:basedOn w:val="Normal"/>
    <w:link w:val="CommentTextChar"/>
    <w:uiPriority w:val="99"/>
    <w:unhideWhenUsed/>
    <w:rsid w:val="00523759"/>
    <w:pPr>
      <w:spacing w:line="240" w:lineRule="auto"/>
    </w:pPr>
    <w:rPr>
      <w:sz w:val="20"/>
      <w:szCs w:val="20"/>
    </w:rPr>
  </w:style>
  <w:style w:type="character" w:customStyle="1" w:styleId="CommentTextChar">
    <w:name w:val="Comment Text Char"/>
    <w:basedOn w:val="DefaultParagraphFont"/>
    <w:link w:val="CommentText"/>
    <w:uiPriority w:val="99"/>
    <w:rsid w:val="00523759"/>
    <w:rPr>
      <w:sz w:val="20"/>
      <w:szCs w:val="20"/>
    </w:rPr>
  </w:style>
  <w:style w:type="paragraph" w:styleId="CommentSubject">
    <w:name w:val="annotation subject"/>
    <w:basedOn w:val="CommentText"/>
    <w:next w:val="CommentText"/>
    <w:link w:val="CommentSubjectChar"/>
    <w:uiPriority w:val="99"/>
    <w:semiHidden/>
    <w:unhideWhenUsed/>
    <w:rsid w:val="00523759"/>
    <w:rPr>
      <w:b/>
      <w:bCs/>
    </w:rPr>
  </w:style>
  <w:style w:type="character" w:customStyle="1" w:styleId="CommentSubjectChar">
    <w:name w:val="Comment Subject Char"/>
    <w:basedOn w:val="CommentTextChar"/>
    <w:link w:val="CommentSubject"/>
    <w:uiPriority w:val="99"/>
    <w:semiHidden/>
    <w:rsid w:val="0052375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yperlink" Target="https://www.azcourts.gov/cld/Legal-Paraprofessiona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azcourthelp.org/home/legalaid-resources"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www.azcourthelp.org" TargetMode="Externa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s://www.azcourts.gov/eviction"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iscellaneous xmlns="521f91b8-91cc-4ac0-8293-5b66aee000f1">false</Miscellaneous>
    <Sort_x0020_ID xmlns="521f91b8-91cc-4ac0-8293-5b66aee000f1">AOCLJEA03FS</Sort_x0020_ID>
    <EffectiveDate xmlns="521f91b8-91cc-4ac0-8293-5b66aee000f1">2025-01-01T07:00:00.000Z</EffectiveDate>
    <CaseType xmlns="521f91b8-91cc-4ac0-8293-5b66aee000f1">Eviction</CaseType>
    <FormNo_x002e_0 xmlns="521f91b8-91cc-4ac0-8293-5b66aee000f1">AOCLJEA3FS</FormNo_x002e_0>
    <CourtType xmlns="521f91b8-91cc-4ac0-8293-5b66aee000f1" xsi:nil="true"/>
    <Notes xmlns="521f91b8-91cc-4ac0-8293-5b66aee000f1" xsi:nil="true"/>
    <FormNo_x002e_ xmlns="521f91b8-91cc-4ac0-8293-5b66aee000f1">Hoja de información legal sobre el desalojo de vivienda (REIS)</FormNo_x002e_>
    <Mandatory xmlns="521f91b8-91cc-4ac0-8293-5b66aee000f1">true</Mandatory>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57B2EB-411C-4D46-A374-98A5A2E3BD0F}">
  <ds:schemaRefs>
    <ds:schemaRef ds:uri="http://purl.org/dc/terms/"/>
    <ds:schemaRef ds:uri="http://purl.org/dc/dcmitype/"/>
    <ds:schemaRef ds:uri="http://purl.org/dc/elements/1.1/"/>
    <ds:schemaRef ds:uri="6accab1e-76bc-4a30-9b44-411a92c96cbb"/>
    <ds:schemaRef ds:uri="http://www.w3.org/XML/1998/namespace"/>
    <ds:schemaRef ds:uri="http://schemas.microsoft.com/office/2006/documentManagement/types"/>
    <ds:schemaRef ds:uri="521f91b8-91cc-4ac0-8293-5b66aee000f1"/>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51DDA8FE-2FBA-4A1C-8955-76CE0AD86E5A}">
  <ds:schemaRefs>
    <ds:schemaRef ds:uri="http://schemas.microsoft.com/sharepoint/v3/contenttype/forms"/>
  </ds:schemaRefs>
</ds:datastoreItem>
</file>

<file path=customXml/itemProps3.xml><?xml version="1.0" encoding="utf-8"?>
<ds:datastoreItem xmlns:ds="http://schemas.openxmlformats.org/officeDocument/2006/customXml" ds:itemID="{99E544B1-6DB0-4C4D-BD17-D965F23975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1f91b8-91cc-4ac0-8293-5b66aee000f1"/>
    <ds:schemaRef ds:uri="6accab1e-76bc-4a30-9b44-411a92c96cb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1046</Words>
  <Characters>5964</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6997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Hoja de información legal sobre el desalojo de vivienda (REIS)</dc:title>
  <dc:creator>Graber, Julie</dc:creator>
  <cp:lastModifiedBy>Graber, Julie</cp:lastModifiedBy>
  <cp:revision>2</cp:revision>
  <cp:lastPrinted>2019-09-10T21:52:00Z</cp:lastPrinted>
  <dcterms:created xsi:type="dcterms:W3CDTF">2024-10-07T17:39:00Z</dcterms:created>
  <dcterms:modified xsi:type="dcterms:W3CDTF">2024-10-07T17:39:00Z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