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0086AB" w14:textId="6D5DB49B" w:rsidR="00B169F4" w:rsidRPr="00FD5DDC" w:rsidRDefault="001E2E63" w:rsidP="00B169F4">
      <w:pPr>
        <w:spacing w:after="0"/>
        <w:jc w:val="center"/>
        <w:rPr>
          <w:rFonts w:ascii="Times New Roman" w:hAnsi="Times New Roman" w:cs="Times New Roman"/>
          <w:b/>
          <w:bCs/>
          <w:sz w:val="28"/>
          <w:szCs w:val="28"/>
          <w:lang w:val="es-ES"/>
        </w:rPr>
      </w:pPr>
      <w:r w:rsidRPr="00FD5DDC">
        <w:rPr>
          <w:rFonts w:ascii="Times New Roman" w:eastAsia="Times New Roman" w:hAnsi="Times New Roman" w:cs="Times New Roman"/>
          <w:b/>
          <w:bCs/>
          <w:sz w:val="28"/>
          <w:szCs w:val="28"/>
          <w:lang w:val="es-ES"/>
        </w:rPr>
        <w:t xml:space="preserve">PROCEDIMIENTOS E INSTRUCCIONES </w:t>
      </w:r>
    </w:p>
    <w:p w14:paraId="083B07BF" w14:textId="77777777" w:rsidR="00B169F4" w:rsidRPr="00FD5DDC" w:rsidRDefault="001E2E63" w:rsidP="00B169F4">
      <w:pPr>
        <w:jc w:val="center"/>
        <w:rPr>
          <w:rFonts w:ascii="Times New Roman" w:hAnsi="Times New Roman" w:cs="Times New Roman"/>
          <w:b/>
          <w:bCs/>
          <w:sz w:val="28"/>
          <w:szCs w:val="28"/>
          <w:lang w:val="es-ES"/>
        </w:rPr>
      </w:pPr>
      <w:r w:rsidRPr="00FD5DDC">
        <w:rPr>
          <w:rFonts w:ascii="Times New Roman" w:eastAsia="Times New Roman" w:hAnsi="Times New Roman" w:cs="Times New Roman"/>
          <w:b/>
          <w:bCs/>
          <w:sz w:val="28"/>
          <w:szCs w:val="28"/>
          <w:lang w:val="es-ES"/>
        </w:rPr>
        <w:t>PARA APELAR UNA SENTENCIA DE DESALOJO</w:t>
      </w:r>
    </w:p>
    <w:p w14:paraId="5BA4D1A6" w14:textId="77777777" w:rsidR="00B169F4" w:rsidRPr="00FD5DDC" w:rsidRDefault="00B169F4" w:rsidP="00B169F4">
      <w:pPr>
        <w:spacing w:after="0"/>
        <w:rPr>
          <w:rFonts w:ascii="Times New Roman" w:hAnsi="Times New Roman" w:cs="Times New Roman"/>
          <w:sz w:val="24"/>
          <w:szCs w:val="24"/>
          <w:lang w:val="es-ES"/>
        </w:rPr>
      </w:pPr>
    </w:p>
    <w:p w14:paraId="5D0BAE09" w14:textId="77777777" w:rsidR="00B169F4" w:rsidRPr="00FD5DDC" w:rsidRDefault="001E2E63" w:rsidP="00B169F4">
      <w:p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Cualquiera de las partes podrá apelar una sentencia dictada en un juzgado de paz. Si una de las partes desea apelar una sentencia en una demanda de desalojo, deberá presentar un AVISO DE APELACIÓN ante el juzgado DENTRO DE UN PLAZO DE CINCO (5) días naturales a partir del asentimiento de la sentencia.</w:t>
      </w:r>
    </w:p>
    <w:p w14:paraId="24207C38" w14:textId="77777777" w:rsidR="00B169F4" w:rsidRPr="00FD5DDC" w:rsidRDefault="001E2E63" w:rsidP="00B169F4">
      <w:pPr>
        <w:spacing w:after="0"/>
        <w:rPr>
          <w:rFonts w:ascii="Times New Roman" w:hAnsi="Times New Roman" w:cs="Times New Roman"/>
          <w:sz w:val="24"/>
          <w:szCs w:val="24"/>
          <w:lang w:val="es-ES"/>
        </w:rPr>
      </w:pPr>
      <w:r w:rsidRPr="00FD5DDC">
        <w:rPr>
          <w:rFonts w:ascii="Times New Roman" w:hAnsi="Times New Roman" w:cs="Times New Roman"/>
          <w:noProof/>
          <w:sz w:val="24"/>
          <w:szCs w:val="24"/>
          <w:lang w:val="es-ES"/>
        </w:rPr>
        <mc:AlternateContent>
          <mc:Choice Requires="wps">
            <w:drawing>
              <wp:anchor distT="0" distB="0" distL="114300" distR="114300" simplePos="0" relativeHeight="251659264" behindDoc="0" locked="0" layoutInCell="1" allowOverlap="1" wp14:anchorId="041C3A56" wp14:editId="49F6ADBD">
                <wp:simplePos x="0" y="0"/>
                <wp:positionH relativeFrom="margin">
                  <wp:align>right</wp:align>
                </wp:positionH>
                <wp:positionV relativeFrom="paragraph">
                  <wp:posOffset>141605</wp:posOffset>
                </wp:positionV>
                <wp:extent cx="6390640" cy="264160"/>
                <wp:effectExtent l="0" t="0" r="10160" b="21590"/>
                <wp:wrapNone/>
                <wp:docPr id="1" name="Text Box 1"/>
                <wp:cNvGraphicFramePr/>
                <a:graphic xmlns:a="http://schemas.openxmlformats.org/drawingml/2006/main">
                  <a:graphicData uri="http://schemas.microsoft.com/office/word/2010/wordprocessingShape">
                    <wps:wsp>
                      <wps:cNvSpPr txBox="1"/>
                      <wps:spPr>
                        <a:xfrm>
                          <a:off x="0" y="0"/>
                          <a:ext cx="6390640" cy="264160"/>
                        </a:xfrm>
                        <a:prstGeom prst="rect">
                          <a:avLst/>
                        </a:prstGeom>
                        <a:noFill/>
                        <a:ln w="6350">
                          <a:solidFill>
                            <a:prstClr val="black"/>
                          </a:solidFill>
                        </a:ln>
                      </wps:spPr>
                      <wps:txbx>
                        <w:txbxContent>
                          <w:p w14:paraId="3EDC8FE8" w14:textId="77777777" w:rsidR="00B169F4" w:rsidRPr="00BD7D90" w:rsidRDefault="001E2E63" w:rsidP="00B169F4">
                            <w:pPr>
                              <w:jc w:val="center"/>
                              <w:rPr>
                                <w:rFonts w:ascii="Times New Roman" w:hAnsi="Times New Roman" w:cs="Times New Roman"/>
                                <w:b/>
                                <w:bCs/>
                                <w:i/>
                                <w:sz w:val="24"/>
                                <w:szCs w:val="24"/>
                                <w:lang w:val="es-ES"/>
                              </w:rPr>
                            </w:pPr>
                            <w:r w:rsidRPr="00BD7D90">
                              <w:rPr>
                                <w:rFonts w:ascii="Times New Roman" w:eastAsia="Times New Roman" w:hAnsi="Times New Roman" w:cs="Times New Roman"/>
                                <w:b/>
                                <w:bCs/>
                                <w:i/>
                                <w:sz w:val="24"/>
                                <w:szCs w:val="24"/>
                                <w:lang w:val="es-ES_tradnl"/>
                              </w:rPr>
                              <w:t>EL JUZGADO NO PUEDE AMPLIAR EL PLAZO DE APELACIÓN.</w:t>
                            </w:r>
                          </w:p>
                          <w:p w14:paraId="2E899BC3" w14:textId="77777777" w:rsidR="00B169F4" w:rsidRPr="00FD5DDC" w:rsidRDefault="00B169F4">
                            <w:pPr>
                              <w:rPr>
                                <w:lang w:val="es-ES"/>
                              </w:rPr>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041C3A56" id="_x0000_t202" coordsize="21600,21600" o:spt="202" path="m,l,21600r21600,l21600,xe">
                <v:stroke joinstyle="miter"/>
                <v:path gradientshapeok="t" o:connecttype="rect"/>
              </v:shapetype>
              <v:shape id="Text Box 1" o:spid="_x0000_s1026" type="#_x0000_t202" style="position:absolute;margin-left:452pt;margin-top:11.15pt;width:503.2pt;height:20.8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" filled="f" strokeweight=".5pt">
                <v:textbox>
                  <w:txbxContent>
                    <w:p w14:paraId="3EDC8FE8" w14:textId="77777777" w:rsidR="00B169F4" w:rsidRPr="00BD7D90" w:rsidRDefault="001E2E63" w:rsidP="00B169F4">
                      <w:pPr>
                        <w:jc w:val="center"/>
                        <w:rPr>
                          <w:rFonts w:ascii="Times New Roman" w:hAnsi="Times New Roman" w:cs="Times New Roman"/>
                          <w:b/>
                          <w:bCs/>
                          <w:i/>
                          <w:sz w:val="24"/>
                          <w:szCs w:val="24"/>
                          <w:lang w:val="es-ES"/>
                        </w:rPr>
                      </w:pPr>
                      <w:r w:rsidRPr="00BD7D90">
                        <w:rPr>
                          <w:rFonts w:ascii="Times New Roman" w:eastAsia="Times New Roman" w:hAnsi="Times New Roman" w:cs="Times New Roman"/>
                          <w:b/>
                          <w:bCs/>
                          <w:i/>
                          <w:sz w:val="24"/>
                          <w:szCs w:val="24"/>
                          <w:lang w:val="es-ES_tradnl"/>
                        </w:rPr>
                        <w:t>EL JUZGADO NO PUEDE AMPLIAR EL PLAZO DE APELACIÓN.</w:t>
                      </w:r>
                    </w:p>
                    <w:p w14:paraId="2E899BC3" w14:textId="77777777" w:rsidR="00B169F4" w:rsidRPr="00FD5DDC" w:rsidRDefault="00B169F4">
                      <w:pPr>
                        <w:rPr>
                          <w:lang w:val="es-ES"/>
                        </w:rPr>
                      </w:pPr>
                    </w:p>
                  </w:txbxContent>
                </v:textbox>
                <w10:wrap anchorx="margin"/>
              </v:shape>
            </w:pict>
          </mc:Fallback>
        </mc:AlternateContent>
      </w:r>
    </w:p>
    <w:p w14:paraId="0D4A27DE" w14:textId="77777777" w:rsidR="00B169F4" w:rsidRPr="00FD5DDC" w:rsidRDefault="00B169F4" w:rsidP="00B169F4">
      <w:pPr>
        <w:spacing w:after="0"/>
        <w:rPr>
          <w:rFonts w:ascii="Times New Roman" w:hAnsi="Times New Roman" w:cs="Times New Roman"/>
          <w:sz w:val="24"/>
          <w:szCs w:val="24"/>
          <w:lang w:val="es-ES"/>
        </w:rPr>
      </w:pPr>
    </w:p>
    <w:p w14:paraId="70E839FA" w14:textId="77777777" w:rsidR="00B169F4" w:rsidRPr="00FD5DDC" w:rsidRDefault="00B169F4" w:rsidP="00B169F4">
      <w:pPr>
        <w:spacing w:after="0"/>
        <w:rPr>
          <w:rFonts w:ascii="Times New Roman" w:hAnsi="Times New Roman" w:cs="Times New Roman"/>
          <w:sz w:val="24"/>
          <w:szCs w:val="24"/>
          <w:lang w:val="es-ES"/>
        </w:rPr>
      </w:pPr>
    </w:p>
    <w:p w14:paraId="18050CDB" w14:textId="77777777" w:rsidR="00B169F4" w:rsidRPr="00FD5DDC" w:rsidRDefault="001E2E63" w:rsidP="00B169F4">
      <w:pPr>
        <w:spacing w:after="0"/>
        <w:rPr>
          <w:rFonts w:ascii="Times New Roman" w:hAnsi="Times New Roman" w:cs="Times New Roman"/>
          <w:b/>
          <w:bCs/>
          <w:sz w:val="24"/>
          <w:szCs w:val="24"/>
          <w:lang w:val="es-ES"/>
        </w:rPr>
      </w:pPr>
      <w:r w:rsidRPr="00FD5DDC">
        <w:rPr>
          <w:rFonts w:ascii="Times New Roman" w:eastAsia="Times New Roman" w:hAnsi="Times New Roman" w:cs="Times New Roman"/>
          <w:sz w:val="24"/>
          <w:szCs w:val="24"/>
          <w:lang w:val="es-ES"/>
        </w:rPr>
        <w:t xml:space="preserve">Si se dictó la sentencia por un </w:t>
      </w:r>
      <w:r w:rsidRPr="00FD5DDC">
        <w:rPr>
          <w:rFonts w:ascii="Times New Roman" w:eastAsia="Times New Roman" w:hAnsi="Times New Roman" w:cs="Times New Roman"/>
          <w:b/>
          <w:bCs/>
          <w:sz w:val="24"/>
          <w:szCs w:val="24"/>
          <w:u w:val="single"/>
          <w:lang w:val="es-ES"/>
        </w:rPr>
        <w:t>incumplimiento sustancial o irreparable,</w:t>
      </w:r>
      <w:r w:rsidRPr="00FD5DDC">
        <w:rPr>
          <w:rFonts w:ascii="Times New Roman" w:eastAsia="Times New Roman" w:hAnsi="Times New Roman" w:cs="Times New Roman"/>
          <w:sz w:val="24"/>
          <w:szCs w:val="24"/>
          <w:lang w:val="es-ES"/>
        </w:rPr>
        <w:t xml:space="preserve"> la orden de restitución se efectuará de inmediato (dentro de 12-24 horas). Para SUSPENDER la ejecución de la orden, se deberá presentar de </w:t>
      </w:r>
      <w:r w:rsidRPr="00FD5DDC">
        <w:rPr>
          <w:rFonts w:ascii="Times New Roman" w:eastAsia="Times New Roman" w:hAnsi="Times New Roman" w:cs="Times New Roman"/>
          <w:b/>
          <w:bCs/>
          <w:sz w:val="24"/>
          <w:szCs w:val="24"/>
          <w:lang w:val="es-ES"/>
        </w:rPr>
        <w:t xml:space="preserve">INMEDIATO </w:t>
      </w:r>
      <w:r w:rsidRPr="00BD7D90">
        <w:rPr>
          <w:rFonts w:ascii="Times New Roman" w:eastAsia="Times New Roman" w:hAnsi="Times New Roman" w:cs="Times New Roman"/>
          <w:sz w:val="24"/>
          <w:szCs w:val="24"/>
          <w:lang w:val="es-ES"/>
        </w:rPr>
        <w:t>ante el juzgado un</w:t>
      </w:r>
      <w:r w:rsidRPr="00FD5DDC">
        <w:rPr>
          <w:rFonts w:ascii="Times New Roman" w:eastAsia="Times New Roman" w:hAnsi="Times New Roman" w:cs="Times New Roman"/>
          <w:b/>
          <w:bCs/>
          <w:sz w:val="24"/>
          <w:szCs w:val="24"/>
          <w:lang w:val="es-ES"/>
        </w:rPr>
        <w:t xml:space="preserve"> </w:t>
      </w:r>
      <w:r w:rsidRPr="00FD5DDC">
        <w:rPr>
          <w:rFonts w:ascii="Times New Roman" w:eastAsia="Times New Roman" w:hAnsi="Times New Roman" w:cs="Times New Roman"/>
          <w:b/>
          <w:bCs/>
          <w:sz w:val="24"/>
          <w:szCs w:val="24"/>
          <w:u w:val="single"/>
          <w:lang w:val="es-ES"/>
        </w:rPr>
        <w:t>AVISO DE APELACIÓN y depositar UNA FIANZA DE APLEACIÓN</w:t>
      </w:r>
      <w:r w:rsidRPr="00FD5DDC">
        <w:rPr>
          <w:rFonts w:ascii="Times New Roman" w:eastAsia="Times New Roman" w:hAnsi="Times New Roman" w:cs="Times New Roman"/>
          <w:sz w:val="24"/>
          <w:szCs w:val="24"/>
          <w:lang w:val="es-ES"/>
        </w:rPr>
        <w:t xml:space="preserve"> (el juzgado fijará la fianza) antes de que empiece el proceso de desalojo. Solamente se podrá suspender el desalojo mediante el depósito de una fianza de apelación. </w:t>
      </w:r>
      <w:r w:rsidRPr="00FD5DDC">
        <w:rPr>
          <w:rFonts w:ascii="Times New Roman" w:eastAsia="Times New Roman" w:hAnsi="Times New Roman" w:cs="Times New Roman"/>
          <w:b/>
          <w:bCs/>
          <w:sz w:val="24"/>
          <w:szCs w:val="24"/>
          <w:lang w:val="es-ES"/>
        </w:rPr>
        <w:t>El juzgado no puede eximir de la fianza de apelación.</w:t>
      </w:r>
    </w:p>
    <w:p w14:paraId="14CAE9BB" w14:textId="77777777" w:rsidR="00B169F4" w:rsidRPr="00FD5DDC" w:rsidRDefault="00B169F4" w:rsidP="00B169F4">
      <w:pPr>
        <w:spacing w:after="0"/>
        <w:rPr>
          <w:rFonts w:ascii="Times New Roman" w:hAnsi="Times New Roman" w:cs="Times New Roman"/>
          <w:sz w:val="24"/>
          <w:szCs w:val="24"/>
          <w:lang w:val="es-ES"/>
        </w:rPr>
      </w:pPr>
    </w:p>
    <w:p w14:paraId="477558F0" w14:textId="77777777" w:rsidR="00B169F4" w:rsidRPr="00FD5DDC" w:rsidRDefault="001E2E63" w:rsidP="00B169F4">
      <w:p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Para presentar una apelación, no es necesario depositar una fianza de apelación. La apelación procederá con o sin una fianza de apelación.</w:t>
      </w:r>
    </w:p>
    <w:p w14:paraId="7BE1DD41" w14:textId="77777777" w:rsidR="00B169F4" w:rsidRPr="00FD5DDC" w:rsidRDefault="00B169F4" w:rsidP="00B169F4">
      <w:pPr>
        <w:spacing w:after="0"/>
        <w:rPr>
          <w:rFonts w:ascii="Times New Roman" w:hAnsi="Times New Roman" w:cs="Times New Roman"/>
          <w:sz w:val="24"/>
          <w:szCs w:val="24"/>
          <w:lang w:val="es-ES"/>
        </w:rPr>
      </w:pPr>
    </w:p>
    <w:p w14:paraId="22F2004D" w14:textId="77777777" w:rsidR="00B169F4" w:rsidRPr="00FD5DDC" w:rsidRDefault="001E2E63" w:rsidP="00B169F4">
      <w:pPr>
        <w:spacing w:after="0"/>
        <w:rPr>
          <w:rFonts w:ascii="Times New Roman" w:hAnsi="Times New Roman" w:cs="Times New Roman"/>
          <w:sz w:val="24"/>
          <w:szCs w:val="24"/>
          <w:lang w:val="es-ES"/>
        </w:rPr>
      </w:pPr>
      <w:r w:rsidRPr="00FD5DDC">
        <w:rPr>
          <w:rFonts w:ascii="Times New Roman" w:eastAsia="Times New Roman" w:hAnsi="Times New Roman" w:cs="Times New Roman"/>
          <w:b/>
          <w:bCs/>
          <w:sz w:val="24"/>
          <w:szCs w:val="24"/>
          <w:lang w:val="es-ES"/>
        </w:rPr>
        <w:t>Por favor NO CONTINÚE...</w:t>
      </w:r>
    </w:p>
    <w:p w14:paraId="39023CDA" w14:textId="77777777" w:rsidR="00B169F4" w:rsidRPr="00FD5DDC" w:rsidRDefault="001E2E63" w:rsidP="00B169F4">
      <w:pPr>
        <w:pStyle w:val="ListParagraph"/>
        <w:numPr>
          <w:ilvl w:val="0"/>
          <w:numId w:val="1"/>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Si todavía no se ha dictado una sentencia.</w:t>
      </w:r>
    </w:p>
    <w:p w14:paraId="25E5377C" w14:textId="77777777" w:rsidR="00B169F4" w:rsidRPr="00FD5DDC" w:rsidRDefault="001E2E63" w:rsidP="00B169F4">
      <w:pPr>
        <w:pStyle w:val="ListParagraph"/>
        <w:numPr>
          <w:ilvl w:val="0"/>
          <w:numId w:val="1"/>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Si la sentencia se asentó por incumplimiento. No se puede apelar una sentencia por incumplimiento.</w:t>
      </w:r>
    </w:p>
    <w:p w14:paraId="658E640A" w14:textId="77777777" w:rsidR="00B169F4" w:rsidRPr="00FD5DDC" w:rsidRDefault="001E2E63" w:rsidP="00B169F4">
      <w:pPr>
        <w:pStyle w:val="ListParagraph"/>
        <w:numPr>
          <w:ilvl w:val="0"/>
          <w:numId w:val="1"/>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 xml:space="preserve">Primero se debe presentar un pedimento de anulación de sentencia. </w:t>
      </w:r>
    </w:p>
    <w:p w14:paraId="22A0C53A" w14:textId="77777777" w:rsidR="00B169F4" w:rsidRPr="00FD5DDC" w:rsidRDefault="001E2E63" w:rsidP="00B169F4">
      <w:pPr>
        <w:pStyle w:val="ListParagraph"/>
        <w:numPr>
          <w:ilvl w:val="0"/>
          <w:numId w:val="1"/>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Si ha caducado el plazo de apelación.</w:t>
      </w:r>
    </w:p>
    <w:p w14:paraId="0CBB03A3" w14:textId="77777777" w:rsidR="00B169F4" w:rsidRPr="00FD5DDC" w:rsidRDefault="00B169F4" w:rsidP="00B169F4">
      <w:pPr>
        <w:spacing w:after="0"/>
        <w:rPr>
          <w:rFonts w:ascii="Times New Roman" w:hAnsi="Times New Roman" w:cs="Times New Roman"/>
          <w:sz w:val="24"/>
          <w:szCs w:val="24"/>
          <w:lang w:val="es-ES"/>
        </w:rPr>
      </w:pPr>
    </w:p>
    <w:p w14:paraId="7D873537" w14:textId="77777777" w:rsidR="00B169F4" w:rsidRPr="00FD5DDC" w:rsidRDefault="001E2E63" w:rsidP="00B169F4">
      <w:pPr>
        <w:spacing w:after="0"/>
        <w:rPr>
          <w:rFonts w:ascii="Times New Roman" w:hAnsi="Times New Roman" w:cs="Times New Roman"/>
          <w:b/>
          <w:bCs/>
          <w:sz w:val="24"/>
          <w:szCs w:val="24"/>
          <w:lang w:val="es-ES"/>
        </w:rPr>
      </w:pPr>
      <w:r w:rsidRPr="00FD5DDC">
        <w:rPr>
          <w:rFonts w:ascii="Times New Roman" w:eastAsia="Times New Roman" w:hAnsi="Times New Roman" w:cs="Times New Roman"/>
          <w:b/>
          <w:bCs/>
          <w:sz w:val="24"/>
          <w:szCs w:val="24"/>
          <w:lang w:val="es-ES"/>
        </w:rPr>
        <w:t>Por favor CONTINÚE...</w:t>
      </w:r>
    </w:p>
    <w:p w14:paraId="4711773E" w14:textId="77777777" w:rsidR="00B169F4" w:rsidRPr="00FD5DDC" w:rsidRDefault="001E2E63" w:rsidP="00B169F4">
      <w:pPr>
        <w:pStyle w:val="ListParagraph"/>
        <w:numPr>
          <w:ilvl w:val="0"/>
          <w:numId w:val="2"/>
        </w:numPr>
        <w:spacing w:after="0"/>
        <w:ind w:left="2160"/>
        <w:rPr>
          <w:rFonts w:ascii="Times New Roman" w:hAnsi="Times New Roman" w:cs="Times New Roman"/>
          <w:b/>
          <w:bCs/>
          <w:sz w:val="24"/>
          <w:szCs w:val="24"/>
          <w:lang w:val="es-ES"/>
        </w:rPr>
      </w:pPr>
      <w:r w:rsidRPr="00FD5DDC">
        <w:rPr>
          <w:rFonts w:ascii="Times New Roman" w:eastAsia="Times New Roman" w:hAnsi="Times New Roman" w:cs="Times New Roman"/>
          <w:b/>
          <w:bCs/>
          <w:sz w:val="24"/>
          <w:szCs w:val="24"/>
          <w:lang w:val="es-ES"/>
        </w:rPr>
        <w:t>Si usted desea apelar una sentencia o resolución en su caso.</w:t>
      </w:r>
    </w:p>
    <w:p w14:paraId="04184D89" w14:textId="77777777" w:rsidR="00B169F4" w:rsidRPr="00FD5DDC" w:rsidRDefault="00B169F4" w:rsidP="00B169F4">
      <w:pPr>
        <w:spacing w:after="0"/>
        <w:rPr>
          <w:rFonts w:ascii="Times New Roman" w:hAnsi="Times New Roman" w:cs="Times New Roman"/>
          <w:b/>
          <w:bCs/>
          <w:sz w:val="24"/>
          <w:szCs w:val="24"/>
          <w:lang w:val="es-ES"/>
        </w:rPr>
      </w:pPr>
    </w:p>
    <w:p w14:paraId="3363233D" w14:textId="77777777" w:rsidR="00B169F4" w:rsidRPr="00FD5DDC" w:rsidRDefault="001E2E63" w:rsidP="00B169F4">
      <w:pPr>
        <w:spacing w:after="0"/>
        <w:rPr>
          <w:rFonts w:ascii="Times New Roman" w:hAnsi="Times New Roman" w:cs="Times New Roman"/>
          <w:b/>
          <w:bCs/>
          <w:sz w:val="24"/>
          <w:szCs w:val="24"/>
          <w:lang w:val="es-ES"/>
        </w:rPr>
      </w:pPr>
      <w:r w:rsidRPr="00FD5DDC">
        <w:rPr>
          <w:rFonts w:ascii="Times New Roman" w:eastAsia="Times New Roman" w:hAnsi="Times New Roman" w:cs="Times New Roman"/>
          <w:b/>
          <w:bCs/>
          <w:sz w:val="24"/>
          <w:szCs w:val="24"/>
          <w:lang w:val="es-ES"/>
        </w:rPr>
        <w:t>INSTRUCCIONES:</w:t>
      </w:r>
    </w:p>
    <w:p w14:paraId="7D4BA3EA" w14:textId="77777777" w:rsidR="00B169F4" w:rsidRPr="00FD5DDC" w:rsidRDefault="001E2E63" w:rsidP="00B169F4">
      <w:pPr>
        <w:pStyle w:val="ListParagraph"/>
        <w:numPr>
          <w:ilvl w:val="0"/>
          <w:numId w:val="3"/>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Lea el formulario Aviso de derecho a una apelación.</w:t>
      </w:r>
    </w:p>
    <w:p w14:paraId="59DC3028" w14:textId="77777777" w:rsidR="00B169F4" w:rsidRPr="00FD5DDC" w:rsidRDefault="001E2E63" w:rsidP="00B169F4">
      <w:pPr>
        <w:pStyle w:val="ListParagraph"/>
        <w:numPr>
          <w:ilvl w:val="0"/>
          <w:numId w:val="3"/>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Llene el formulario Aviso de apelación y preséntelo al actuario dentro del plazo permitido (cinco días o antes si su intención es evitar un desalojo). Mire la sentencia. Si se ordenó un desalojo inmediato (12-24 horas), se debe presentar el Aviso de apelación y depositar la fianza de apelación antes de la ejecución de la Orden de restitución (orden de desalojo).</w:t>
      </w:r>
    </w:p>
    <w:p w14:paraId="6F305AF3" w14:textId="77777777" w:rsidR="00B169F4" w:rsidRPr="00FD5DDC" w:rsidRDefault="00B169F4" w:rsidP="00B169F4">
      <w:pPr>
        <w:pStyle w:val="ListParagraph"/>
        <w:spacing w:after="0"/>
        <w:rPr>
          <w:rFonts w:ascii="Times New Roman" w:hAnsi="Times New Roman" w:cs="Times New Roman"/>
          <w:sz w:val="24"/>
          <w:szCs w:val="24"/>
          <w:lang w:val="es-ES"/>
        </w:rPr>
      </w:pPr>
    </w:p>
    <w:p w14:paraId="2D1E161D" w14:textId="77777777" w:rsidR="00B169F4" w:rsidRPr="00FD5DDC" w:rsidRDefault="001E2E63" w:rsidP="00B169F4">
      <w:pPr>
        <w:pStyle w:val="ListParagraph"/>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En el momento de presentar el Aviso de apelación:</w:t>
      </w:r>
    </w:p>
    <w:p w14:paraId="7643177F" w14:textId="77777777" w:rsidR="00B169F4" w:rsidRPr="00FD5DDC" w:rsidRDefault="00B169F4" w:rsidP="00B169F4">
      <w:pPr>
        <w:pStyle w:val="ListParagraph"/>
        <w:spacing w:after="0"/>
        <w:rPr>
          <w:rFonts w:ascii="Times New Roman" w:hAnsi="Times New Roman" w:cs="Times New Roman"/>
          <w:sz w:val="24"/>
          <w:szCs w:val="24"/>
          <w:lang w:val="es-ES"/>
        </w:rPr>
      </w:pPr>
    </w:p>
    <w:p w14:paraId="06E94F7D" w14:textId="5835D2B8" w:rsidR="00B169F4" w:rsidRPr="00FD5DDC" w:rsidRDefault="001E2E63" w:rsidP="00B169F4">
      <w:pPr>
        <w:pStyle w:val="ListParagraph"/>
        <w:numPr>
          <w:ilvl w:val="0"/>
          <w:numId w:val="3"/>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 xml:space="preserve">Pague las costas pertinentes para obtener una copia del expediente judicial, certificación y </w:t>
      </w:r>
      <w:r w:rsidR="00245075">
        <w:rPr>
          <w:rFonts w:ascii="Times New Roman" w:eastAsia="Times New Roman" w:hAnsi="Times New Roman" w:cs="Times New Roman"/>
          <w:sz w:val="24"/>
          <w:szCs w:val="24"/>
          <w:lang w:val="es-ES"/>
        </w:rPr>
        <w:t>envío del acta</w:t>
      </w:r>
      <w:r w:rsidRPr="00FD5DDC">
        <w:rPr>
          <w:rFonts w:ascii="Times New Roman" w:eastAsia="Times New Roman" w:hAnsi="Times New Roman" w:cs="Times New Roman"/>
          <w:sz w:val="24"/>
          <w:szCs w:val="24"/>
          <w:lang w:val="es-ES"/>
        </w:rPr>
        <w:t>.</w:t>
      </w:r>
    </w:p>
    <w:p w14:paraId="3F9B14B3" w14:textId="77777777" w:rsidR="00B169F4" w:rsidRPr="00FD5DDC" w:rsidRDefault="001E2E63" w:rsidP="00B169F4">
      <w:pPr>
        <w:pStyle w:val="ListParagraph"/>
        <w:numPr>
          <w:ilvl w:val="0"/>
          <w:numId w:val="3"/>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Pague la garantía por costas obligatoria ($250.00) o presente la Afidávit de falta de recursos necesarios para depositar una garantía por costas.</w:t>
      </w:r>
    </w:p>
    <w:p w14:paraId="3B75E9E6" w14:textId="77777777" w:rsidR="00B169F4" w:rsidRPr="00FD5DDC" w:rsidRDefault="001E2E63" w:rsidP="00B169F4">
      <w:pPr>
        <w:pStyle w:val="ListParagraph"/>
        <w:numPr>
          <w:ilvl w:val="0"/>
          <w:numId w:val="3"/>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Llene y presente el Aviso de la presentación de una garantía por costas durante la apelación.</w:t>
      </w:r>
    </w:p>
    <w:p w14:paraId="359AF259" w14:textId="392402E5" w:rsidR="00B169F4" w:rsidRPr="00FD5DDC" w:rsidRDefault="001E2E63" w:rsidP="00B169F4">
      <w:pPr>
        <w:pStyle w:val="ListParagraph"/>
        <w:numPr>
          <w:ilvl w:val="0"/>
          <w:numId w:val="3"/>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lastRenderedPageBreak/>
        <w:t xml:space="preserve">Llene </w:t>
      </w:r>
      <w:r w:rsidR="00245075">
        <w:rPr>
          <w:rFonts w:ascii="Times New Roman" w:eastAsia="Times New Roman" w:hAnsi="Times New Roman" w:cs="Times New Roman"/>
          <w:sz w:val="24"/>
          <w:szCs w:val="24"/>
          <w:lang w:val="es-ES"/>
        </w:rPr>
        <w:t>y</w:t>
      </w:r>
      <w:r w:rsidRPr="00FD5DDC">
        <w:rPr>
          <w:rFonts w:ascii="Times New Roman" w:eastAsia="Times New Roman" w:hAnsi="Times New Roman" w:cs="Times New Roman"/>
          <w:sz w:val="24"/>
          <w:szCs w:val="24"/>
          <w:lang w:val="es-ES"/>
        </w:rPr>
        <w:t xml:space="preserve"> presente el formulario Designación de las actas a apelar.</w:t>
      </w:r>
    </w:p>
    <w:p w14:paraId="1450195A" w14:textId="77777777" w:rsidR="00B169F4" w:rsidRPr="00FD5DDC" w:rsidRDefault="001E2E63" w:rsidP="00B169F4">
      <w:pPr>
        <w:pStyle w:val="ListParagraph"/>
        <w:numPr>
          <w:ilvl w:val="0"/>
          <w:numId w:val="3"/>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Decida si va a solicitar una suspensión de la ejecución de la sentencia depositando una fianza de apelación. Hay dos tipos de fianzas de apelación en una demanda de lanzamiento: una tiene el propósito de suspender la ejecución del cobro del monto de la sentencia y la otra suspende la ejecución de la sentencia de posesión. El juzgado le indicará la cantidad que se tiene que depositar para realizar una suspensión.</w:t>
      </w:r>
    </w:p>
    <w:p w14:paraId="11D908A0" w14:textId="77777777" w:rsidR="00B169F4" w:rsidRPr="00FD5DDC" w:rsidRDefault="001E2E63" w:rsidP="00B169F4">
      <w:pPr>
        <w:pStyle w:val="ListParagraph"/>
        <w:numPr>
          <w:ilvl w:val="0"/>
          <w:numId w:val="3"/>
        </w:num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Siga las instrucciones en el Aviso del derecho a una apelación para completar el proceso de apelación (pagar el alquiler al juzgado, obtener una transcripción, preparar un escrito o contestar a un escrito, pagar las cuotas administrativas al tribunal superior, etc.). En el proceso de la apelación cada paso es fundamental. Si no se cumple plenamente con todos los requisitos, se rechazará y se desechará la apelación.</w:t>
      </w:r>
    </w:p>
    <w:p w14:paraId="4E2CAC3B" w14:textId="77777777" w:rsidR="00B169F4" w:rsidRPr="00FD5DDC" w:rsidRDefault="00B169F4" w:rsidP="00B169F4">
      <w:pPr>
        <w:spacing w:after="0"/>
        <w:rPr>
          <w:rFonts w:ascii="Times New Roman" w:hAnsi="Times New Roman" w:cs="Times New Roman"/>
          <w:sz w:val="24"/>
          <w:szCs w:val="24"/>
          <w:lang w:val="es-ES"/>
        </w:rPr>
      </w:pPr>
    </w:p>
    <w:p w14:paraId="22D81F90" w14:textId="77777777" w:rsidR="00B169F4" w:rsidRPr="00FD5DDC" w:rsidRDefault="001E2E63" w:rsidP="00B169F4">
      <w:pPr>
        <w:spacing w:after="0"/>
        <w:rPr>
          <w:rFonts w:ascii="Times New Roman" w:hAnsi="Times New Roman" w:cs="Times New Roman"/>
          <w:sz w:val="24"/>
          <w:szCs w:val="24"/>
          <w:lang w:val="es-ES"/>
        </w:rPr>
      </w:pPr>
      <w:r w:rsidRPr="00FD5DDC">
        <w:rPr>
          <w:rFonts w:ascii="Times New Roman" w:eastAsia="Times New Roman" w:hAnsi="Times New Roman" w:cs="Times New Roman"/>
          <w:sz w:val="24"/>
          <w:szCs w:val="24"/>
          <w:lang w:val="es-ES"/>
        </w:rPr>
        <w:t>ES IMPORTANTE QUE TODAS LAS PARTES MANTENGAN AL JUZGADO INFORMADO DE CUALQUIER CAMBIO DE DIRECCIÓN. Se deberá presentar ante el juzgado un formulario de AVISO DE CAMBIO DE DIRECCIÓN en caso de que alguna de las partes cambie de dirección.</w:t>
      </w:r>
    </w:p>
    <w:p w14:paraId="583F9FC4" w14:textId="77777777" w:rsidR="00B169F4" w:rsidRPr="00FD5DDC" w:rsidRDefault="00B169F4" w:rsidP="00B169F4">
      <w:pPr>
        <w:spacing w:after="120"/>
        <w:rPr>
          <w:rFonts w:ascii="Times New Roman" w:hAnsi="Times New Roman" w:cs="Times New Roman"/>
          <w:sz w:val="24"/>
          <w:szCs w:val="24"/>
          <w:lang w:val="es-ES"/>
        </w:rPr>
      </w:pPr>
    </w:p>
    <w:p w14:paraId="1BE114D9" w14:textId="77777777" w:rsidR="00B169F4" w:rsidRPr="00FD5DDC" w:rsidRDefault="001E2E63" w:rsidP="00DF42F5">
      <w:pPr>
        <w:pStyle w:val="ListParagraph"/>
        <w:numPr>
          <w:ilvl w:val="0"/>
          <w:numId w:val="2"/>
        </w:numPr>
        <w:spacing w:after="120"/>
        <w:rPr>
          <w:rFonts w:ascii="Times New Roman" w:hAnsi="Times New Roman" w:cs="Times New Roman"/>
          <w:sz w:val="24"/>
          <w:szCs w:val="24"/>
          <w:lang w:val="es-ES"/>
        </w:rPr>
      </w:pPr>
      <w:r w:rsidRPr="00FD5DDC">
        <w:rPr>
          <w:rFonts w:ascii="Times New Roman" w:eastAsia="Times New Roman" w:hAnsi="Times New Roman" w:cs="Times New Roman"/>
          <w:b/>
          <w:bCs/>
          <w:sz w:val="24"/>
          <w:szCs w:val="24"/>
          <w:lang w:val="es-ES"/>
        </w:rPr>
        <w:t xml:space="preserve">EL APELANTE </w:t>
      </w:r>
      <w:r w:rsidRPr="00FD5DDC">
        <w:rPr>
          <w:rFonts w:ascii="Times New Roman" w:eastAsia="Times New Roman" w:hAnsi="Times New Roman" w:cs="Times New Roman"/>
          <w:sz w:val="24"/>
          <w:szCs w:val="24"/>
          <w:lang w:val="es-ES"/>
        </w:rPr>
        <w:t>es la parte que presenta la apelación.</w:t>
      </w:r>
    </w:p>
    <w:p w14:paraId="24E978DD" w14:textId="77777777" w:rsidR="00B169F4" w:rsidRPr="00FD5DDC" w:rsidRDefault="001E2E63" w:rsidP="00DF42F5">
      <w:pPr>
        <w:pStyle w:val="ListParagraph"/>
        <w:numPr>
          <w:ilvl w:val="0"/>
          <w:numId w:val="2"/>
        </w:numPr>
        <w:spacing w:after="120"/>
        <w:rPr>
          <w:rFonts w:ascii="Times New Roman" w:hAnsi="Times New Roman" w:cs="Times New Roman"/>
          <w:sz w:val="24"/>
          <w:szCs w:val="24"/>
          <w:lang w:val="es-ES"/>
        </w:rPr>
      </w:pPr>
      <w:r w:rsidRPr="00FD5DDC">
        <w:rPr>
          <w:rFonts w:ascii="Times New Roman" w:eastAsia="Times New Roman" w:hAnsi="Times New Roman" w:cs="Times New Roman"/>
          <w:b/>
          <w:bCs/>
          <w:sz w:val="24"/>
          <w:szCs w:val="24"/>
          <w:lang w:val="es-ES"/>
        </w:rPr>
        <w:t xml:space="preserve">LA PARTE APELADA </w:t>
      </w:r>
      <w:r w:rsidRPr="00FD5DDC">
        <w:rPr>
          <w:rFonts w:ascii="Times New Roman" w:eastAsia="Times New Roman" w:hAnsi="Times New Roman" w:cs="Times New Roman"/>
          <w:sz w:val="24"/>
          <w:szCs w:val="24"/>
          <w:lang w:val="es-ES"/>
        </w:rPr>
        <w:t>es la parte contraria.</w:t>
      </w:r>
    </w:p>
    <w:p w14:paraId="2BCE7A52" w14:textId="77777777" w:rsidR="00B169F4" w:rsidRPr="00607698" w:rsidRDefault="001E2E63" w:rsidP="00DF42F5">
      <w:pPr>
        <w:pStyle w:val="ListParagraph"/>
        <w:numPr>
          <w:ilvl w:val="0"/>
          <w:numId w:val="2"/>
        </w:numPr>
        <w:spacing w:after="0"/>
        <w:rPr>
          <w:rFonts w:ascii="Times New Roman" w:hAnsi="Times New Roman" w:cs="Times New Roman"/>
          <w:sz w:val="24"/>
          <w:szCs w:val="24"/>
          <w:lang w:val="es-ES"/>
        </w:rPr>
      </w:pPr>
      <w:r w:rsidRPr="00FD5DDC">
        <w:rPr>
          <w:rFonts w:ascii="Times New Roman" w:eastAsia="Times New Roman" w:hAnsi="Times New Roman" w:cs="Times New Roman"/>
          <w:b/>
          <w:bCs/>
          <w:sz w:val="24"/>
          <w:szCs w:val="24"/>
          <w:lang w:val="es-ES"/>
        </w:rPr>
        <w:t xml:space="preserve">EL JUZGADO DE PRIMERA INSTANCIA </w:t>
      </w:r>
      <w:r w:rsidRPr="00607698">
        <w:rPr>
          <w:rFonts w:ascii="Times New Roman" w:eastAsia="Times New Roman" w:hAnsi="Times New Roman" w:cs="Times New Roman"/>
          <w:sz w:val="24"/>
          <w:szCs w:val="24"/>
          <w:lang w:val="es-ES"/>
        </w:rPr>
        <w:t>es el juzgado de paz.</w:t>
      </w:r>
    </w:p>
    <w:p w14:paraId="2B3772EF" w14:textId="77777777" w:rsidR="00DF42F5" w:rsidRPr="00FD5DDC" w:rsidRDefault="00DF42F5" w:rsidP="00B169F4">
      <w:pPr>
        <w:spacing w:after="0"/>
        <w:rPr>
          <w:rFonts w:ascii="Times New Roman" w:hAnsi="Times New Roman" w:cs="Times New Roman"/>
          <w:sz w:val="24"/>
          <w:szCs w:val="24"/>
          <w:lang w:val="es-ES"/>
        </w:rPr>
      </w:pPr>
    </w:p>
    <w:p w14:paraId="0940F7D2" w14:textId="77777777" w:rsidR="00DF42F5" w:rsidRPr="00FD5DDC" w:rsidRDefault="001E2E63" w:rsidP="00DF42F5">
      <w:pPr>
        <w:spacing w:after="0"/>
        <w:jc w:val="center"/>
        <w:rPr>
          <w:rFonts w:ascii="Times New Roman" w:hAnsi="Times New Roman" w:cs="Times New Roman"/>
          <w:sz w:val="24"/>
          <w:szCs w:val="24"/>
          <w:lang w:val="es-ES"/>
        </w:rPr>
      </w:pPr>
      <w:r w:rsidRPr="00FD5DDC">
        <w:rPr>
          <w:rFonts w:ascii="Times New Roman" w:hAnsi="Times New Roman" w:cs="Times New Roman"/>
          <w:noProof/>
          <w:sz w:val="24"/>
          <w:szCs w:val="24"/>
          <w:lang w:val="es-ES"/>
        </w:rPr>
        <mc:AlternateContent>
          <mc:Choice Requires="wps">
            <w:drawing>
              <wp:anchor distT="0" distB="0" distL="114300" distR="114300" simplePos="0" relativeHeight="251661312" behindDoc="0" locked="0" layoutInCell="1" allowOverlap="1" wp14:anchorId="177403DB" wp14:editId="26CF38B1">
                <wp:simplePos x="0" y="0"/>
                <wp:positionH relativeFrom="margin">
                  <wp:align>left</wp:align>
                </wp:positionH>
                <wp:positionV relativeFrom="paragraph">
                  <wp:posOffset>56515</wp:posOffset>
                </wp:positionV>
                <wp:extent cx="6527800" cy="964164"/>
                <wp:effectExtent l="0" t="0" r="25400" b="26670"/>
                <wp:wrapNone/>
                <wp:docPr id="2" name="Text Box 2"/>
                <wp:cNvGraphicFramePr/>
                <a:graphic xmlns:a="http://schemas.openxmlformats.org/drawingml/2006/main">
                  <a:graphicData uri="http://schemas.microsoft.com/office/word/2010/wordprocessingShape">
                    <wps:wsp>
                      <wps:cNvSpPr txBox="1"/>
                      <wps:spPr>
                        <a:xfrm>
                          <a:off x="0" y="0"/>
                          <a:ext cx="6527800" cy="964164"/>
                        </a:xfrm>
                        <a:prstGeom prst="rect">
                          <a:avLst/>
                        </a:prstGeom>
                        <a:solidFill>
                          <a:schemeClr val="lt1"/>
                        </a:solidFill>
                        <a:ln w="6350">
                          <a:solidFill>
                            <a:prstClr val="black"/>
                          </a:solidFill>
                        </a:ln>
                      </wps:spPr>
                      <wps:txbx>
                        <w:txbxContent>
                          <w:p w14:paraId="7C2B1DAF" w14:textId="77777777" w:rsidR="00DF42F5" w:rsidRPr="00FD5DDC" w:rsidRDefault="001E2E63" w:rsidP="00DF42F5">
                            <w:pPr>
                              <w:jc w:val="center"/>
                              <w:rPr>
                                <w:rFonts w:ascii="Times New Roman" w:hAnsi="Times New Roman" w:cs="Times New Roman"/>
                                <w:b/>
                                <w:bCs/>
                                <w:sz w:val="32"/>
                                <w:szCs w:val="32"/>
                                <w:lang w:val="es-ES"/>
                              </w:rPr>
                            </w:pPr>
                            <w:r>
                              <w:rPr>
                                <w:rFonts w:ascii="Times New Roman" w:eastAsia="Times New Roman" w:hAnsi="Times New Roman" w:cs="Times New Roman"/>
                                <w:b/>
                                <w:bCs/>
                                <w:sz w:val="32"/>
                                <w:szCs w:val="32"/>
                                <w:lang w:val="es-ES_tradnl"/>
                              </w:rPr>
                              <w:t>El Aviso del derecho a una apelación proporciona un resumen de los procedimientos en el proceso de apelación y contiene información importante sobre las fianzas y garantías.</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77403DB" id="Text Box 2" o:spid="_x0000_s1027" type="#_x0000_t202" style="position:absolute;left:0;text-align:left;margin-left:0;margin-top:4.45pt;width:514pt;height:75.9pt;z-index:25166131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" fillcolor="white [3201]" strokeweight=".5pt">
                <v:textbox>
                  <w:txbxContent>
                    <w:p w14:paraId="7C2B1DAF" w14:textId="77777777" w:rsidR="00DF42F5" w:rsidRPr="00FD5DDC" w:rsidRDefault="001E2E63" w:rsidP="00DF42F5">
                      <w:pPr>
                        <w:jc w:val="center"/>
                        <w:rPr>
                          <w:rFonts w:ascii="Times New Roman" w:hAnsi="Times New Roman" w:cs="Times New Roman"/>
                          <w:b/>
                          <w:bCs/>
                          <w:sz w:val="32"/>
                          <w:szCs w:val="32"/>
                          <w:lang w:val="es-ES"/>
                        </w:rPr>
                      </w:pPr>
                      <w:r>
                        <w:rPr>
                          <w:rFonts w:ascii="Times New Roman" w:eastAsia="Times New Roman" w:hAnsi="Times New Roman" w:cs="Times New Roman"/>
                          <w:b/>
                          <w:bCs/>
                          <w:sz w:val="32"/>
                          <w:szCs w:val="32"/>
                          <w:lang w:val="es-ES_tradnl"/>
                        </w:rPr>
                        <w:t>El Aviso del derecho a una apelación proporciona un resumen de los procedimientos en el proceso de apelación y contiene información importante sobre las fianzas y garantías.</w:t>
                      </w:r>
                    </w:p>
                  </w:txbxContent>
                </v:textbox>
                <w10:wrap anchorx="margin"/>
              </v:shape>
            </w:pict>
          </mc:Fallback>
        </mc:AlternateContent>
      </w:r>
    </w:p>
    <w:p w14:paraId="1C6FE139" w14:textId="77777777" w:rsidR="00DF42F5" w:rsidRPr="00FD5DDC" w:rsidRDefault="00DF42F5" w:rsidP="00DF42F5">
      <w:pPr>
        <w:rPr>
          <w:rFonts w:ascii="Times New Roman" w:hAnsi="Times New Roman" w:cs="Times New Roman"/>
          <w:sz w:val="24"/>
          <w:szCs w:val="24"/>
          <w:lang w:val="es-ES"/>
        </w:rPr>
      </w:pPr>
    </w:p>
    <w:p w14:paraId="0B200873" w14:textId="77777777" w:rsidR="00DF42F5" w:rsidRPr="00FD5DDC" w:rsidRDefault="00DF42F5" w:rsidP="00DF42F5">
      <w:pPr>
        <w:rPr>
          <w:rFonts w:ascii="Times New Roman" w:hAnsi="Times New Roman" w:cs="Times New Roman"/>
          <w:sz w:val="24"/>
          <w:szCs w:val="24"/>
          <w:lang w:val="es-ES"/>
        </w:rPr>
      </w:pPr>
    </w:p>
    <w:p w14:paraId="66F0D4DA" w14:textId="77777777" w:rsidR="00DF42F5" w:rsidRPr="00FD5DDC" w:rsidRDefault="00DF42F5" w:rsidP="00DF42F5">
      <w:pPr>
        <w:rPr>
          <w:rFonts w:ascii="Times New Roman" w:hAnsi="Times New Roman" w:cs="Times New Roman"/>
          <w:sz w:val="24"/>
          <w:szCs w:val="24"/>
          <w:lang w:val="es-ES"/>
        </w:rPr>
      </w:pPr>
    </w:p>
    <w:p w14:paraId="4022AE6D" w14:textId="77777777" w:rsidR="00DF42F5" w:rsidRPr="00FD5DDC" w:rsidRDefault="00DF42F5" w:rsidP="00DF42F5">
      <w:pPr>
        <w:rPr>
          <w:rFonts w:ascii="Times New Roman" w:hAnsi="Times New Roman" w:cs="Times New Roman"/>
          <w:sz w:val="24"/>
          <w:szCs w:val="24"/>
          <w:lang w:val="es-ES"/>
        </w:rPr>
      </w:pPr>
    </w:p>
    <w:p w14:paraId="0D8A4F69" w14:textId="77777777" w:rsidR="00DF42F5" w:rsidRPr="00FD5DDC" w:rsidRDefault="00DF42F5" w:rsidP="00DF42F5">
      <w:pPr>
        <w:rPr>
          <w:rFonts w:ascii="Times New Roman" w:hAnsi="Times New Roman" w:cs="Times New Roman"/>
          <w:sz w:val="24"/>
          <w:szCs w:val="24"/>
          <w:lang w:val="es-ES"/>
        </w:rPr>
      </w:pPr>
    </w:p>
    <w:p w14:paraId="0E153162" w14:textId="77777777" w:rsidR="00DF42F5" w:rsidRPr="00FD5DDC" w:rsidRDefault="00DF42F5" w:rsidP="00DF42F5">
      <w:pPr>
        <w:rPr>
          <w:rFonts w:ascii="Times New Roman" w:hAnsi="Times New Roman" w:cs="Times New Roman"/>
          <w:sz w:val="24"/>
          <w:szCs w:val="24"/>
          <w:lang w:val="es-ES"/>
        </w:rPr>
      </w:pPr>
    </w:p>
    <w:p w14:paraId="5E1445F4" w14:textId="77777777" w:rsidR="00DF42F5" w:rsidRPr="00FD5DDC" w:rsidRDefault="00DF42F5" w:rsidP="00DF42F5">
      <w:pPr>
        <w:rPr>
          <w:rFonts w:ascii="Times New Roman" w:hAnsi="Times New Roman" w:cs="Times New Roman"/>
          <w:sz w:val="24"/>
          <w:szCs w:val="24"/>
          <w:lang w:val="es-ES"/>
        </w:rPr>
      </w:pPr>
    </w:p>
    <w:p w14:paraId="4ACC9B2D" w14:textId="77777777" w:rsidR="00DF42F5" w:rsidRPr="00FD5DDC" w:rsidRDefault="00DF42F5" w:rsidP="00DF42F5">
      <w:pPr>
        <w:rPr>
          <w:rFonts w:ascii="Times New Roman" w:hAnsi="Times New Roman" w:cs="Times New Roman"/>
          <w:sz w:val="24"/>
          <w:szCs w:val="24"/>
          <w:lang w:val="es-ES"/>
        </w:rPr>
      </w:pPr>
    </w:p>
    <w:p w14:paraId="2669D8A7" w14:textId="77777777" w:rsidR="00DF42F5" w:rsidRPr="00FD5DDC" w:rsidRDefault="00DF42F5" w:rsidP="00DF42F5">
      <w:pPr>
        <w:rPr>
          <w:rFonts w:ascii="Times New Roman" w:hAnsi="Times New Roman" w:cs="Times New Roman"/>
          <w:sz w:val="24"/>
          <w:szCs w:val="24"/>
          <w:lang w:val="es-ES"/>
        </w:rPr>
      </w:pPr>
    </w:p>
    <w:p w14:paraId="45A94733" w14:textId="77777777" w:rsidR="00DF42F5" w:rsidRPr="00FD5DDC" w:rsidRDefault="00DF42F5" w:rsidP="00DF42F5">
      <w:pPr>
        <w:rPr>
          <w:rFonts w:ascii="Times New Roman" w:hAnsi="Times New Roman" w:cs="Times New Roman"/>
          <w:sz w:val="24"/>
          <w:szCs w:val="24"/>
          <w:lang w:val="es-ES"/>
        </w:rPr>
      </w:pPr>
    </w:p>
    <w:p w14:paraId="0A1D42C7" w14:textId="77777777" w:rsidR="00DF42F5" w:rsidRPr="00FD5DDC" w:rsidRDefault="00DF42F5" w:rsidP="00DF42F5">
      <w:pPr>
        <w:rPr>
          <w:rFonts w:ascii="Times New Roman" w:hAnsi="Times New Roman" w:cs="Times New Roman"/>
          <w:sz w:val="24"/>
          <w:szCs w:val="24"/>
          <w:lang w:val="es-ES"/>
        </w:rPr>
      </w:pPr>
    </w:p>
    <w:p w14:paraId="0E37FDF9" w14:textId="77777777" w:rsidR="00DF42F5" w:rsidRPr="00FD5DDC" w:rsidRDefault="00DF42F5" w:rsidP="00DF42F5">
      <w:pPr>
        <w:rPr>
          <w:rFonts w:ascii="Times New Roman" w:hAnsi="Times New Roman" w:cs="Times New Roman"/>
          <w:sz w:val="24"/>
          <w:szCs w:val="24"/>
          <w:lang w:val="es-ES"/>
        </w:rPr>
      </w:pPr>
    </w:p>
    <w:sectPr w:rsidR="00DF42F5" w:rsidRPr="00FD5DDC" w:rsidSect="00B169F4">
      <w:footerReference w:type="default" r:id="rId7"/>
      <w:pgSz w:w="12240" w:h="15840"/>
      <w:pgMar w:top="1080" w:right="1080" w:bottom="72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126E3A" w14:textId="77777777" w:rsidR="00E90501" w:rsidRDefault="00E90501">
      <w:pPr>
        <w:spacing w:after="0" w:line="240" w:lineRule="auto"/>
      </w:pPr>
      <w:r>
        <w:separator/>
      </w:r>
    </w:p>
  </w:endnote>
  <w:endnote w:type="continuationSeparator" w:id="0">
    <w:p w14:paraId="76EB1F4A" w14:textId="77777777" w:rsidR="00E90501" w:rsidRDefault="00E905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7ADE81" w14:textId="77777777" w:rsidR="00B169F4" w:rsidRDefault="00B169F4" w:rsidP="00B169F4">
    <w:pPr>
      <w:pStyle w:val="Footer"/>
      <w:rPr>
        <w:rFonts w:ascii="Times New Roman" w:hAnsi="Times New Roman" w:cs="Times New Roman"/>
        <w:sz w:val="16"/>
      </w:rPr>
    </w:pPr>
  </w:p>
  <w:p w14:paraId="55B69E4E" w14:textId="6835E094" w:rsidR="00B169F4" w:rsidRDefault="001E2E63">
    <w:pPr>
      <w:pStyle w:val="Footer"/>
      <w:rPr>
        <w:rFonts w:ascii="Times New Roman" w:eastAsia="Times New Roman" w:hAnsi="Times New Roman" w:cs="Times New Roman"/>
        <w:sz w:val="16"/>
        <w:szCs w:val="16"/>
      </w:rPr>
    </w:pPr>
    <w:r w:rsidRPr="00FD5DDC">
      <w:rPr>
        <w:rFonts w:ascii="Times New Roman" w:eastAsia="Times New Roman" w:hAnsi="Times New Roman" w:cs="Times New Roman"/>
        <w:sz w:val="16"/>
        <w:szCs w:val="16"/>
      </w:rPr>
      <w:t>Arizona Supreme Court</w:t>
    </w:r>
    <w:r>
      <w:ptab w:relativeTo="margin" w:alignment="center" w:leader="none"/>
    </w:r>
    <w:r w:rsidRPr="00FD5DDC">
      <w:rPr>
        <w:rFonts w:ascii="Times New Roman" w:eastAsia="Times New Roman" w:hAnsi="Times New Roman" w:cs="Times New Roman"/>
        <w:sz w:val="16"/>
        <w:szCs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1</w:t>
    </w:r>
    <w:r w:rsidRPr="0084548A">
      <w:rPr>
        <w:rFonts w:ascii="Times New Roman" w:hAnsi="Times New Roman" w:cs="Times New Roman"/>
        <w:bCs/>
        <w:sz w:val="16"/>
      </w:rPr>
      <w:fldChar w:fldCharType="end"/>
    </w:r>
    <w:r w:rsidRPr="00FD5DDC">
      <w:rPr>
        <w:rFonts w:ascii="Times New Roman" w:eastAsia="Times New Roman" w:hAnsi="Times New Roman" w:cs="Times New Roman"/>
        <w:sz w:val="16"/>
        <w:szCs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2</w:t>
    </w:r>
    <w:r w:rsidRPr="0084548A">
      <w:rPr>
        <w:rFonts w:ascii="Times New Roman" w:hAnsi="Times New Roman" w:cs="Times New Roman"/>
        <w:bCs/>
        <w:sz w:val="16"/>
      </w:rPr>
      <w:fldChar w:fldCharType="end"/>
    </w:r>
    <w:r>
      <w:ptab w:relativeTo="margin" w:alignment="right" w:leader="none"/>
    </w:r>
    <w:r w:rsidRPr="00FD5DDC">
      <w:rPr>
        <w:rFonts w:ascii="Times New Roman" w:eastAsia="Times New Roman" w:hAnsi="Times New Roman" w:cs="Times New Roman"/>
        <w:sz w:val="16"/>
        <w:szCs w:val="16"/>
      </w:rPr>
      <w:t>AOC LJEA20I</w:t>
    </w:r>
    <w:r w:rsidR="00652D76">
      <w:rPr>
        <w:rFonts w:ascii="Times New Roman" w:eastAsia="Times New Roman" w:hAnsi="Times New Roman" w:cs="Times New Roman"/>
        <w:sz w:val="16"/>
        <w:szCs w:val="16"/>
      </w:rPr>
      <w:t>S</w:t>
    </w:r>
    <w:r w:rsidRPr="00FD5DDC">
      <w:rPr>
        <w:rFonts w:ascii="Times New Roman" w:eastAsia="Times New Roman" w:hAnsi="Times New Roman" w:cs="Times New Roman"/>
        <w:sz w:val="16"/>
        <w:szCs w:val="16"/>
      </w:rPr>
      <w:t>-100121</w:t>
    </w:r>
  </w:p>
  <w:p w14:paraId="75F580C7" w14:textId="6F29979D" w:rsidR="00652D76" w:rsidRPr="00B169F4" w:rsidRDefault="00652D76">
    <w:pPr>
      <w:pStyle w:val="Footer"/>
      <w:rPr>
        <w:rFonts w:ascii="Times New Roman" w:hAnsi="Times New Roman" w:cs="Times New Roman"/>
        <w:sz w:val="16"/>
      </w:rPr>
    </w:pPr>
    <w:r>
      <w:rPr>
        <w:rFonts w:ascii="Times New Roman" w:eastAsia="Times New Roman" w:hAnsi="Times New Roman" w:cs="Times New Roman"/>
        <w:sz w:val="16"/>
        <w:szCs w:val="16"/>
      </w:rPr>
      <w:t>Procedures and Instructions for Appealing an Eviction Judgment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44CC87" w14:textId="77777777" w:rsidR="00E90501" w:rsidRDefault="00E90501">
      <w:pPr>
        <w:spacing w:after="0" w:line="240" w:lineRule="auto"/>
      </w:pPr>
      <w:r>
        <w:separator/>
      </w:r>
    </w:p>
  </w:footnote>
  <w:footnote w:type="continuationSeparator" w:id="0">
    <w:p w14:paraId="56776C81" w14:textId="77777777" w:rsidR="00E90501" w:rsidRDefault="00E9050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577638F"/>
    <w:multiLevelType w:val="hybridMultilevel"/>
    <w:tmpl w:val="832228C0"/>
    <w:lvl w:ilvl="0" w:tplc="FB2085DE">
      <w:start w:val="1"/>
      <w:numFmt w:val="bullet"/>
      <w:lvlText w:val=""/>
      <w:lvlJc w:val="left"/>
      <w:pPr>
        <w:ind w:left="2160" w:hanging="360"/>
      </w:pPr>
      <w:rPr>
        <w:rFonts w:ascii="Symbol" w:hAnsi="Symbol" w:hint="default"/>
      </w:rPr>
    </w:lvl>
    <w:lvl w:ilvl="1" w:tplc="2FE830E8" w:tentative="1">
      <w:start w:val="1"/>
      <w:numFmt w:val="bullet"/>
      <w:lvlText w:val="o"/>
      <w:lvlJc w:val="left"/>
      <w:pPr>
        <w:ind w:left="2880" w:hanging="360"/>
      </w:pPr>
      <w:rPr>
        <w:rFonts w:ascii="Courier New" w:hAnsi="Courier New" w:cs="Courier New" w:hint="default"/>
      </w:rPr>
    </w:lvl>
    <w:lvl w:ilvl="2" w:tplc="BB38C83E" w:tentative="1">
      <w:start w:val="1"/>
      <w:numFmt w:val="bullet"/>
      <w:lvlText w:val=""/>
      <w:lvlJc w:val="left"/>
      <w:pPr>
        <w:ind w:left="3600" w:hanging="360"/>
      </w:pPr>
      <w:rPr>
        <w:rFonts w:ascii="Wingdings" w:hAnsi="Wingdings" w:hint="default"/>
      </w:rPr>
    </w:lvl>
    <w:lvl w:ilvl="3" w:tplc="A192F17A" w:tentative="1">
      <w:start w:val="1"/>
      <w:numFmt w:val="bullet"/>
      <w:lvlText w:val=""/>
      <w:lvlJc w:val="left"/>
      <w:pPr>
        <w:ind w:left="4320" w:hanging="360"/>
      </w:pPr>
      <w:rPr>
        <w:rFonts w:ascii="Symbol" w:hAnsi="Symbol" w:hint="default"/>
      </w:rPr>
    </w:lvl>
    <w:lvl w:ilvl="4" w:tplc="754205C8" w:tentative="1">
      <w:start w:val="1"/>
      <w:numFmt w:val="bullet"/>
      <w:lvlText w:val="o"/>
      <w:lvlJc w:val="left"/>
      <w:pPr>
        <w:ind w:left="5040" w:hanging="360"/>
      </w:pPr>
      <w:rPr>
        <w:rFonts w:ascii="Courier New" w:hAnsi="Courier New" w:cs="Courier New" w:hint="default"/>
      </w:rPr>
    </w:lvl>
    <w:lvl w:ilvl="5" w:tplc="4520453A" w:tentative="1">
      <w:start w:val="1"/>
      <w:numFmt w:val="bullet"/>
      <w:lvlText w:val=""/>
      <w:lvlJc w:val="left"/>
      <w:pPr>
        <w:ind w:left="5760" w:hanging="360"/>
      </w:pPr>
      <w:rPr>
        <w:rFonts w:ascii="Wingdings" w:hAnsi="Wingdings" w:hint="default"/>
      </w:rPr>
    </w:lvl>
    <w:lvl w:ilvl="6" w:tplc="5740A05C" w:tentative="1">
      <w:start w:val="1"/>
      <w:numFmt w:val="bullet"/>
      <w:lvlText w:val=""/>
      <w:lvlJc w:val="left"/>
      <w:pPr>
        <w:ind w:left="6480" w:hanging="360"/>
      </w:pPr>
      <w:rPr>
        <w:rFonts w:ascii="Symbol" w:hAnsi="Symbol" w:hint="default"/>
      </w:rPr>
    </w:lvl>
    <w:lvl w:ilvl="7" w:tplc="7EA4C46E" w:tentative="1">
      <w:start w:val="1"/>
      <w:numFmt w:val="bullet"/>
      <w:lvlText w:val="o"/>
      <w:lvlJc w:val="left"/>
      <w:pPr>
        <w:ind w:left="7200" w:hanging="360"/>
      </w:pPr>
      <w:rPr>
        <w:rFonts w:ascii="Courier New" w:hAnsi="Courier New" w:cs="Courier New" w:hint="default"/>
      </w:rPr>
    </w:lvl>
    <w:lvl w:ilvl="8" w:tplc="54024796" w:tentative="1">
      <w:start w:val="1"/>
      <w:numFmt w:val="bullet"/>
      <w:lvlText w:val=""/>
      <w:lvlJc w:val="left"/>
      <w:pPr>
        <w:ind w:left="7920" w:hanging="360"/>
      </w:pPr>
      <w:rPr>
        <w:rFonts w:ascii="Wingdings" w:hAnsi="Wingdings" w:hint="default"/>
      </w:rPr>
    </w:lvl>
  </w:abstractNum>
  <w:abstractNum w:abstractNumId="1" w15:restartNumberingAfterBreak="0">
    <w:nsid w:val="4EEF6100"/>
    <w:multiLevelType w:val="hybridMultilevel"/>
    <w:tmpl w:val="FDA2F6C8"/>
    <w:lvl w:ilvl="0" w:tplc="D3FC00A8">
      <w:start w:val="1"/>
      <w:numFmt w:val="decimal"/>
      <w:lvlText w:val="%1."/>
      <w:lvlJc w:val="left"/>
      <w:pPr>
        <w:ind w:left="720" w:hanging="360"/>
      </w:pPr>
    </w:lvl>
    <w:lvl w:ilvl="1" w:tplc="6890C126" w:tentative="1">
      <w:start w:val="1"/>
      <w:numFmt w:val="lowerLetter"/>
      <w:lvlText w:val="%2."/>
      <w:lvlJc w:val="left"/>
      <w:pPr>
        <w:ind w:left="1440" w:hanging="360"/>
      </w:pPr>
    </w:lvl>
    <w:lvl w:ilvl="2" w:tplc="51383B1A" w:tentative="1">
      <w:start w:val="1"/>
      <w:numFmt w:val="lowerRoman"/>
      <w:lvlText w:val="%3."/>
      <w:lvlJc w:val="right"/>
      <w:pPr>
        <w:ind w:left="2160" w:hanging="180"/>
      </w:pPr>
    </w:lvl>
    <w:lvl w:ilvl="3" w:tplc="BE987926" w:tentative="1">
      <w:start w:val="1"/>
      <w:numFmt w:val="decimal"/>
      <w:lvlText w:val="%4."/>
      <w:lvlJc w:val="left"/>
      <w:pPr>
        <w:ind w:left="2880" w:hanging="360"/>
      </w:pPr>
    </w:lvl>
    <w:lvl w:ilvl="4" w:tplc="208624BA" w:tentative="1">
      <w:start w:val="1"/>
      <w:numFmt w:val="lowerLetter"/>
      <w:lvlText w:val="%5."/>
      <w:lvlJc w:val="left"/>
      <w:pPr>
        <w:ind w:left="3600" w:hanging="360"/>
      </w:pPr>
    </w:lvl>
    <w:lvl w:ilvl="5" w:tplc="7BBEA5CC" w:tentative="1">
      <w:start w:val="1"/>
      <w:numFmt w:val="lowerRoman"/>
      <w:lvlText w:val="%6."/>
      <w:lvlJc w:val="right"/>
      <w:pPr>
        <w:ind w:left="4320" w:hanging="180"/>
      </w:pPr>
    </w:lvl>
    <w:lvl w:ilvl="6" w:tplc="2620F698" w:tentative="1">
      <w:start w:val="1"/>
      <w:numFmt w:val="decimal"/>
      <w:lvlText w:val="%7."/>
      <w:lvlJc w:val="left"/>
      <w:pPr>
        <w:ind w:left="5040" w:hanging="360"/>
      </w:pPr>
    </w:lvl>
    <w:lvl w:ilvl="7" w:tplc="C5C6FA88" w:tentative="1">
      <w:start w:val="1"/>
      <w:numFmt w:val="lowerLetter"/>
      <w:lvlText w:val="%8."/>
      <w:lvlJc w:val="left"/>
      <w:pPr>
        <w:ind w:left="5760" w:hanging="360"/>
      </w:pPr>
    </w:lvl>
    <w:lvl w:ilvl="8" w:tplc="E84C35EE" w:tentative="1">
      <w:start w:val="1"/>
      <w:numFmt w:val="lowerRoman"/>
      <w:lvlText w:val="%9."/>
      <w:lvlJc w:val="right"/>
      <w:pPr>
        <w:ind w:left="6480" w:hanging="180"/>
      </w:pPr>
    </w:lvl>
  </w:abstractNum>
  <w:abstractNum w:abstractNumId="2" w15:restartNumberingAfterBreak="0">
    <w:nsid w:val="643521CE"/>
    <w:multiLevelType w:val="hybridMultilevel"/>
    <w:tmpl w:val="02D02C12"/>
    <w:lvl w:ilvl="0" w:tplc="D154FC10">
      <w:start w:val="1"/>
      <w:numFmt w:val="bullet"/>
      <w:lvlText w:val=""/>
      <w:lvlJc w:val="left"/>
      <w:pPr>
        <w:ind w:left="2520" w:hanging="360"/>
      </w:pPr>
      <w:rPr>
        <w:rFonts w:ascii="Symbol" w:hAnsi="Symbol" w:hint="default"/>
      </w:rPr>
    </w:lvl>
    <w:lvl w:ilvl="1" w:tplc="A3466702" w:tentative="1">
      <w:start w:val="1"/>
      <w:numFmt w:val="bullet"/>
      <w:lvlText w:val="o"/>
      <w:lvlJc w:val="left"/>
      <w:pPr>
        <w:ind w:left="3240" w:hanging="360"/>
      </w:pPr>
      <w:rPr>
        <w:rFonts w:ascii="Courier New" w:hAnsi="Courier New" w:cs="Courier New" w:hint="default"/>
      </w:rPr>
    </w:lvl>
    <w:lvl w:ilvl="2" w:tplc="2ECCC0CA" w:tentative="1">
      <w:start w:val="1"/>
      <w:numFmt w:val="bullet"/>
      <w:lvlText w:val=""/>
      <w:lvlJc w:val="left"/>
      <w:pPr>
        <w:ind w:left="3960" w:hanging="360"/>
      </w:pPr>
      <w:rPr>
        <w:rFonts w:ascii="Wingdings" w:hAnsi="Wingdings" w:hint="default"/>
      </w:rPr>
    </w:lvl>
    <w:lvl w:ilvl="3" w:tplc="A40CE932" w:tentative="1">
      <w:start w:val="1"/>
      <w:numFmt w:val="bullet"/>
      <w:lvlText w:val=""/>
      <w:lvlJc w:val="left"/>
      <w:pPr>
        <w:ind w:left="4680" w:hanging="360"/>
      </w:pPr>
      <w:rPr>
        <w:rFonts w:ascii="Symbol" w:hAnsi="Symbol" w:hint="default"/>
      </w:rPr>
    </w:lvl>
    <w:lvl w:ilvl="4" w:tplc="C512E4D4" w:tentative="1">
      <w:start w:val="1"/>
      <w:numFmt w:val="bullet"/>
      <w:lvlText w:val="o"/>
      <w:lvlJc w:val="left"/>
      <w:pPr>
        <w:ind w:left="5400" w:hanging="360"/>
      </w:pPr>
      <w:rPr>
        <w:rFonts w:ascii="Courier New" w:hAnsi="Courier New" w:cs="Courier New" w:hint="default"/>
      </w:rPr>
    </w:lvl>
    <w:lvl w:ilvl="5" w:tplc="3436661C" w:tentative="1">
      <w:start w:val="1"/>
      <w:numFmt w:val="bullet"/>
      <w:lvlText w:val=""/>
      <w:lvlJc w:val="left"/>
      <w:pPr>
        <w:ind w:left="6120" w:hanging="360"/>
      </w:pPr>
      <w:rPr>
        <w:rFonts w:ascii="Wingdings" w:hAnsi="Wingdings" w:hint="default"/>
      </w:rPr>
    </w:lvl>
    <w:lvl w:ilvl="6" w:tplc="AA78602C" w:tentative="1">
      <w:start w:val="1"/>
      <w:numFmt w:val="bullet"/>
      <w:lvlText w:val=""/>
      <w:lvlJc w:val="left"/>
      <w:pPr>
        <w:ind w:left="6840" w:hanging="360"/>
      </w:pPr>
      <w:rPr>
        <w:rFonts w:ascii="Symbol" w:hAnsi="Symbol" w:hint="default"/>
      </w:rPr>
    </w:lvl>
    <w:lvl w:ilvl="7" w:tplc="F4E0F782" w:tentative="1">
      <w:start w:val="1"/>
      <w:numFmt w:val="bullet"/>
      <w:lvlText w:val="o"/>
      <w:lvlJc w:val="left"/>
      <w:pPr>
        <w:ind w:left="7560" w:hanging="360"/>
      </w:pPr>
      <w:rPr>
        <w:rFonts w:ascii="Courier New" w:hAnsi="Courier New" w:cs="Courier New" w:hint="default"/>
      </w:rPr>
    </w:lvl>
    <w:lvl w:ilvl="8" w:tplc="C044725A" w:tentative="1">
      <w:start w:val="1"/>
      <w:numFmt w:val="bullet"/>
      <w:lvlText w:val=""/>
      <w:lvlJc w:val="left"/>
      <w:pPr>
        <w:ind w:left="82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69F4"/>
    <w:rsid w:val="001E2E63"/>
    <w:rsid w:val="00245075"/>
    <w:rsid w:val="004F554F"/>
    <w:rsid w:val="00607698"/>
    <w:rsid w:val="00652D76"/>
    <w:rsid w:val="007C490D"/>
    <w:rsid w:val="007E6206"/>
    <w:rsid w:val="0084548A"/>
    <w:rsid w:val="00AC7B73"/>
    <w:rsid w:val="00B169F4"/>
    <w:rsid w:val="00B34DA5"/>
    <w:rsid w:val="00BD7D90"/>
    <w:rsid w:val="00DF42F5"/>
    <w:rsid w:val="00E3063D"/>
    <w:rsid w:val="00E90501"/>
    <w:rsid w:val="00FB3070"/>
    <w:rsid w:val="00FD5D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BB44C"/>
  <w15:chartTrackingRefBased/>
  <w15:docId w15:val="{72E1873E-A1F3-45AA-9455-CA1AC07A7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69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9F4"/>
  </w:style>
  <w:style w:type="paragraph" w:styleId="Footer">
    <w:name w:val="footer"/>
    <w:basedOn w:val="Normal"/>
    <w:link w:val="FooterChar"/>
    <w:uiPriority w:val="99"/>
    <w:unhideWhenUsed/>
    <w:rsid w:val="00B169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9F4"/>
  </w:style>
  <w:style w:type="paragraph" w:styleId="ListParagraph">
    <w:name w:val="List Paragraph"/>
    <w:basedOn w:val="Normal"/>
    <w:uiPriority w:val="34"/>
    <w:qFormat/>
    <w:rsid w:val="00B169F4"/>
    <w:pPr>
      <w:ind w:left="720"/>
      <w:contextualSpacing/>
    </w:pPr>
  </w:style>
  <w:style w:type="character" w:styleId="CommentReference">
    <w:name w:val="annotation reference"/>
    <w:basedOn w:val="DefaultParagraphFont"/>
    <w:uiPriority w:val="99"/>
    <w:semiHidden/>
    <w:unhideWhenUsed/>
    <w:rsid w:val="00607698"/>
    <w:rPr>
      <w:sz w:val="16"/>
      <w:szCs w:val="16"/>
    </w:rPr>
  </w:style>
  <w:style w:type="paragraph" w:styleId="CommentText">
    <w:name w:val="annotation text"/>
    <w:basedOn w:val="Normal"/>
    <w:link w:val="CommentTextChar"/>
    <w:uiPriority w:val="99"/>
    <w:semiHidden/>
    <w:unhideWhenUsed/>
    <w:rsid w:val="00607698"/>
    <w:pPr>
      <w:spacing w:line="240" w:lineRule="auto"/>
    </w:pPr>
    <w:rPr>
      <w:sz w:val="20"/>
      <w:szCs w:val="20"/>
    </w:rPr>
  </w:style>
  <w:style w:type="character" w:customStyle="1" w:styleId="CommentTextChar">
    <w:name w:val="Comment Text Char"/>
    <w:basedOn w:val="DefaultParagraphFont"/>
    <w:link w:val="CommentText"/>
    <w:uiPriority w:val="99"/>
    <w:semiHidden/>
    <w:rsid w:val="00607698"/>
    <w:rPr>
      <w:sz w:val="20"/>
      <w:szCs w:val="20"/>
    </w:rPr>
  </w:style>
  <w:style w:type="paragraph" w:styleId="CommentSubject">
    <w:name w:val="annotation subject"/>
    <w:basedOn w:val="CommentText"/>
    <w:next w:val="CommentText"/>
    <w:link w:val="CommentSubjectChar"/>
    <w:uiPriority w:val="99"/>
    <w:semiHidden/>
    <w:unhideWhenUsed/>
    <w:rsid w:val="00607698"/>
    <w:rPr>
      <w:b/>
      <w:bCs/>
    </w:rPr>
  </w:style>
  <w:style w:type="character" w:customStyle="1" w:styleId="CommentSubjectChar">
    <w:name w:val="Comment Subject Char"/>
    <w:basedOn w:val="CommentTextChar"/>
    <w:link w:val="CommentSubject"/>
    <w:uiPriority w:val="99"/>
    <w:semiHidden/>
    <w:rsid w:val="0060769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FA20S</Sort_x0020_ID>
    <EffectiveDate xmlns="521f91b8-91cc-4ac0-8293-5b66aee000f1">2021-10-01T07:00:00+00:00</EffectiveDate>
    <CaseType xmlns="521f91b8-91cc-4ac0-8293-5b66aee000f1">Eviction</CaseType>
    <FormNo_x002e_0 xmlns="521f91b8-91cc-4ac0-8293-5b66aee000f1">AOCLJEA20IS</FormNo_x002e_0>
    <CourtType xmlns="521f91b8-91cc-4ac0-8293-5b66aee000f1" xsi:nil="true"/>
    <Notes xmlns="521f91b8-91cc-4ac0-8293-5b66aee000f1">Appeal</Notes>
    <FormNo_x002e_ xmlns="521f91b8-91cc-4ac0-8293-5b66aee000f1">Procedimientos e instrucciones para apelar una sentencia de desalojo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5737B68-282E-4CEF-863F-1BAC41762290}"/>
</file>

<file path=customXml/itemProps2.xml><?xml version="1.0" encoding="utf-8"?>
<ds:datastoreItem xmlns:ds="http://schemas.openxmlformats.org/officeDocument/2006/customXml" ds:itemID="{11193388-AA56-4368-8FF6-9233ADDDCCCF}"/>
</file>

<file path=customXml/itemProps3.xml><?xml version="1.0" encoding="utf-8"?>
<ds:datastoreItem xmlns:ds="http://schemas.openxmlformats.org/officeDocument/2006/customXml" ds:itemID="{BDDF52F5-68D3-4B95-88EA-D8512650DCAD}"/>
</file>

<file path=docProps/app.xml><?xml version="1.0" encoding="utf-8"?>
<Properties xmlns="http://schemas.openxmlformats.org/officeDocument/2006/extended-properties" xmlns:vt="http://schemas.openxmlformats.org/officeDocument/2006/docPropsVTypes">
  <Template>Normal.dotm</Template>
  <TotalTime>1</TotalTime>
  <Pages>2</Pages>
  <Words>526</Words>
  <Characters>3000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3519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Procedimientos e instrucciones para apelar una sentencia de desalojo</dc:title>
  <dc:creator>Graber, Julie</dc:creator>
  <cp:lastModifiedBy>Graber, Julie</cp:lastModifiedBy>
  <cp:revision>3</cp:revision>
  <dcterms:created xsi:type="dcterms:W3CDTF">2021-11-05T23:05:00Z</dcterms:created>
  <dcterms:modified xsi:type="dcterms:W3CDTF">2021-12-28T19:20:00Z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