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0533AD4" w14:textId="77777777" w:rsidR="00C335D0" w:rsidRPr="00BF0410" w:rsidRDefault="00C335D0">
      <w:pPr>
        <w:spacing w:line="0" w:lineRule="atLeast"/>
        <w:ind w:right="-119"/>
        <w:jc w:val="center"/>
        <w:rPr>
          <w:rFonts w:ascii="Times New Roman" w:eastAsia="Times New Roman" w:hAnsi="Times New Roman"/>
          <w:b/>
          <w:sz w:val="28"/>
          <w:lang w:val="es-US"/>
        </w:rPr>
      </w:pPr>
      <w:r>
        <w:rPr>
          <w:rFonts w:ascii="Times New Roman" w:eastAsia="Times New Roman" w:hAnsi="Times New Roman" w:cs="Times New Roman"/>
          <w:b/>
          <w:sz w:val="28"/>
          <w:szCs w:val="28"/>
          <w:bdr w:val="nil"/>
          <w:lang w:val="es-ES_tradnl"/>
        </w:rPr>
        <w:t>INTRODUCCIÓN AL EMBARGO</w:t>
      </w:r>
    </w:p>
    <w:p w14:paraId="7404CDED" w14:textId="77777777" w:rsidR="00C335D0" w:rsidRPr="00BF0410" w:rsidRDefault="00C335D0">
      <w:pPr>
        <w:spacing w:line="284" w:lineRule="exact"/>
        <w:rPr>
          <w:rFonts w:ascii="Times New Roman" w:eastAsia="Times New Roman" w:hAnsi="Times New Roman"/>
          <w:sz w:val="24"/>
          <w:lang w:val="es-US"/>
        </w:rPr>
      </w:pPr>
    </w:p>
    <w:p w14:paraId="775CE10D" w14:textId="77777777" w:rsidR="00C335D0" w:rsidRPr="00BF0410" w:rsidRDefault="00C335D0">
      <w:pPr>
        <w:spacing w:line="0" w:lineRule="atLeast"/>
        <w:ind w:right="-119"/>
        <w:jc w:val="center"/>
        <w:rPr>
          <w:rFonts w:ascii="Times New Roman" w:eastAsia="Times New Roman" w:hAnsi="Times New Roman"/>
          <w:b/>
          <w:i/>
          <w:sz w:val="24"/>
          <w:lang w:val="es-US"/>
        </w:rPr>
      </w:pPr>
      <w:r>
        <w:rPr>
          <w:rFonts w:ascii="Times New Roman" w:eastAsia="Times New Roman" w:hAnsi="Times New Roman" w:cs="Times New Roman"/>
          <w:b/>
          <w:i/>
          <w:sz w:val="24"/>
          <w:szCs w:val="24"/>
          <w:u w:val="single"/>
          <w:bdr w:val="nil"/>
          <w:lang w:val="es-ES_tradnl"/>
        </w:rPr>
        <w:t>AVISO</w:t>
      </w:r>
    </w:p>
    <w:p w14:paraId="4132958D" w14:textId="77777777" w:rsidR="00C335D0" w:rsidRPr="00BF0410" w:rsidRDefault="00C335D0">
      <w:pPr>
        <w:spacing w:line="283" w:lineRule="exact"/>
        <w:rPr>
          <w:rFonts w:ascii="Times New Roman" w:eastAsia="Times New Roman" w:hAnsi="Times New Roman"/>
          <w:sz w:val="24"/>
          <w:lang w:val="es-US"/>
        </w:rPr>
      </w:pPr>
    </w:p>
    <w:p w14:paraId="4CA0165E" w14:textId="77777777" w:rsidR="00C335D0" w:rsidRPr="00460551" w:rsidRDefault="00C335D0" w:rsidP="00AF3F01">
      <w:pPr>
        <w:spacing w:line="251" w:lineRule="auto"/>
        <w:ind w:left="720" w:right="600"/>
        <w:rPr>
          <w:rFonts w:ascii="Times New Roman" w:eastAsia="Times New Roman" w:hAnsi="Times New Roman"/>
          <w:b/>
          <w:i/>
          <w:sz w:val="24"/>
          <w:lang w:val="es-MX"/>
        </w:rPr>
      </w:pPr>
      <w:r>
        <w:rPr>
          <w:rFonts w:ascii="Times New Roman" w:eastAsia="Times New Roman" w:hAnsi="Times New Roman" w:cs="Times New Roman"/>
          <w:b/>
          <w:i/>
          <w:sz w:val="24"/>
          <w:szCs w:val="24"/>
          <w:bdr w:val="nil"/>
          <w:lang w:val="es-ES_tradnl"/>
        </w:rPr>
        <w:t>SE RECOMIENDA ENCARECIDAMENTE QUE TODAS LAS PARTES DE UN LITIGIO DE EMBARGO BUSQUEN LA ASESORÍA DE UN ABOGADO. L</w:t>
      </w:r>
      <w:r w:rsidR="00EA6A5D">
        <w:rPr>
          <w:rFonts w:ascii="Times New Roman" w:eastAsia="Times New Roman" w:hAnsi="Times New Roman" w:cs="Times New Roman"/>
          <w:b/>
          <w:i/>
          <w:sz w:val="24"/>
          <w:szCs w:val="24"/>
          <w:bdr w:val="nil"/>
          <w:lang w:val="es-ES_tradnl"/>
        </w:rPr>
        <w:t xml:space="preserve">os procedimientos del embargo </w:t>
      </w:r>
      <w:r>
        <w:rPr>
          <w:rFonts w:ascii="Times New Roman" w:eastAsia="Times New Roman" w:hAnsi="Times New Roman" w:cs="Times New Roman"/>
          <w:b/>
          <w:i/>
          <w:sz w:val="24"/>
          <w:szCs w:val="24"/>
          <w:bdr w:val="nil"/>
          <w:lang w:val="es-ES_tradnl"/>
        </w:rPr>
        <w:t xml:space="preserve">son regulados por la ley de Arizona y son sumamente complicados. </w:t>
      </w:r>
      <w:r>
        <w:rPr>
          <w:rFonts w:ascii="Times New Roman" w:eastAsia="Times New Roman" w:hAnsi="Times New Roman" w:cs="Times New Roman"/>
          <w:b/>
          <w:sz w:val="24"/>
          <w:szCs w:val="24"/>
          <w:bdr w:val="nil"/>
          <w:lang w:val="es-ES_tradnl"/>
        </w:rPr>
        <w:t xml:space="preserve"> </w:t>
      </w:r>
      <w:r w:rsidRPr="00460551">
        <w:rPr>
          <w:rFonts w:ascii="Times New Roman" w:eastAsia="Times New Roman" w:hAnsi="Times New Roman" w:cs="Times New Roman"/>
          <w:b/>
          <w:i/>
          <w:sz w:val="24"/>
          <w:szCs w:val="24"/>
          <w:bdr w:val="nil"/>
          <w:lang w:val="es-ES_tradnl"/>
        </w:rPr>
        <w:t xml:space="preserve">Todas las partes del litigio deben seguirlos de forma correcta. El tribunal puede imponerle una </w:t>
      </w:r>
      <w:r w:rsidR="00EA6A5D">
        <w:rPr>
          <w:rFonts w:ascii="Times New Roman" w:eastAsia="Times New Roman" w:hAnsi="Times New Roman" w:cs="Times New Roman"/>
          <w:b/>
          <w:i/>
          <w:sz w:val="24"/>
          <w:szCs w:val="24"/>
          <w:bdr w:val="nil"/>
          <w:lang w:val="es-ES_tradnl"/>
        </w:rPr>
        <w:t>sanción</w:t>
      </w:r>
      <w:r w:rsidRPr="00460551">
        <w:rPr>
          <w:rFonts w:ascii="Times New Roman" w:eastAsia="Times New Roman" w:hAnsi="Times New Roman" w:cs="Times New Roman"/>
          <w:b/>
          <w:i/>
          <w:sz w:val="24"/>
          <w:szCs w:val="24"/>
          <w:bdr w:val="nil"/>
          <w:lang w:val="es-ES_tradnl"/>
        </w:rPr>
        <w:t xml:space="preserve"> pecuniaria a cualquiera de las partes que no siga el debido proceso, incluyendo al acreedor por adeudo.</w:t>
      </w:r>
    </w:p>
    <w:p w14:paraId="3486ED50" w14:textId="77777777" w:rsidR="00C335D0" w:rsidRPr="00460551" w:rsidRDefault="00C335D0" w:rsidP="00AF3F01">
      <w:pPr>
        <w:spacing w:line="248" w:lineRule="exact"/>
        <w:rPr>
          <w:rFonts w:ascii="Times New Roman" w:eastAsia="Times New Roman" w:hAnsi="Times New Roman"/>
          <w:sz w:val="24"/>
          <w:lang w:val="es-MX"/>
        </w:rPr>
      </w:pPr>
    </w:p>
    <w:p w14:paraId="374AF5BF" w14:textId="77777777" w:rsidR="00C335D0" w:rsidRPr="00460551" w:rsidRDefault="00C335D0" w:rsidP="00AF3F01">
      <w:pPr>
        <w:numPr>
          <w:ilvl w:val="0"/>
          <w:numId w:val="2"/>
        </w:numPr>
        <w:tabs>
          <w:tab w:val="left" w:pos="720"/>
        </w:tabs>
        <w:spacing w:line="249" w:lineRule="auto"/>
        <w:ind w:left="1440" w:right="600"/>
        <w:rPr>
          <w:rFonts w:ascii="Symbol" w:eastAsia="Symbol" w:hAnsi="Symbol"/>
          <w:sz w:val="24"/>
          <w:lang w:val="es-MX"/>
        </w:rPr>
      </w:pPr>
      <w:r>
        <w:rPr>
          <w:rFonts w:ascii="Times New Roman" w:eastAsia="Times New Roman" w:hAnsi="Times New Roman" w:cs="Times New Roman"/>
          <w:sz w:val="24"/>
          <w:szCs w:val="24"/>
          <w:u w:val="single"/>
          <w:bdr w:val="nil"/>
          <w:lang w:val="es-ES_tradnl"/>
        </w:rPr>
        <w:t>EL EMBARGO</w:t>
      </w:r>
      <w:r w:rsidRPr="00AF3F01">
        <w:rPr>
          <w:rFonts w:ascii="Times New Roman" w:eastAsia="Times New Roman" w:hAnsi="Times New Roman" w:cs="Times New Roman"/>
          <w:sz w:val="24"/>
          <w:szCs w:val="24"/>
          <w:bdr w:val="nil"/>
          <w:lang w:val="es-ES_tradnl"/>
        </w:rPr>
        <w:t xml:space="preserve"> </w:t>
      </w:r>
      <w:r>
        <w:rPr>
          <w:rFonts w:ascii="Times New Roman" w:eastAsia="Times New Roman" w:hAnsi="Times New Roman" w:cs="Times New Roman"/>
          <w:sz w:val="24"/>
          <w:szCs w:val="24"/>
          <w:bdr w:val="nil"/>
          <w:lang w:val="es-ES_tradnl"/>
        </w:rPr>
        <w:t>es un proceso judicial por el cual una parte puede cobrar dinero de otra parte después de que se dicte la sentencia que condena al pago de una cantidad de dinero.</w:t>
      </w:r>
    </w:p>
    <w:p w14:paraId="51C27880" w14:textId="77777777" w:rsidR="00C335D0" w:rsidRPr="00460551" w:rsidRDefault="00C335D0" w:rsidP="00AF3F01">
      <w:pPr>
        <w:numPr>
          <w:ilvl w:val="0"/>
          <w:numId w:val="2"/>
        </w:numPr>
        <w:tabs>
          <w:tab w:val="left" w:pos="720"/>
        </w:tabs>
        <w:spacing w:line="244" w:lineRule="auto"/>
        <w:ind w:left="1440" w:right="600"/>
        <w:rPr>
          <w:rFonts w:ascii="Symbol" w:eastAsia="Symbol" w:hAnsi="Symbol"/>
          <w:sz w:val="24"/>
          <w:lang w:val="es-MX"/>
        </w:rPr>
      </w:pPr>
      <w:r>
        <w:rPr>
          <w:rFonts w:ascii="Times New Roman" w:eastAsia="Times New Roman" w:hAnsi="Times New Roman" w:cs="Times New Roman"/>
          <w:sz w:val="24"/>
          <w:szCs w:val="24"/>
          <w:bdr w:val="nil"/>
          <w:lang w:val="es-ES_tradnl"/>
        </w:rPr>
        <w:t xml:space="preserve">Una </w:t>
      </w:r>
      <w:r>
        <w:rPr>
          <w:rFonts w:ascii="Times New Roman" w:eastAsia="Times New Roman" w:hAnsi="Times New Roman" w:cs="Times New Roman"/>
          <w:sz w:val="24"/>
          <w:szCs w:val="24"/>
          <w:u w:val="single"/>
          <w:bdr w:val="nil"/>
          <w:lang w:val="es-ES_tradnl"/>
        </w:rPr>
        <w:t>SENTENCIA QUE CONDENA AL PAGO DE UNA CANTIDAD DE DINERO</w:t>
      </w:r>
      <w:r>
        <w:rPr>
          <w:rFonts w:ascii="Times New Roman" w:eastAsia="Times New Roman" w:hAnsi="Times New Roman" w:cs="Times New Roman"/>
          <w:sz w:val="24"/>
          <w:szCs w:val="24"/>
          <w:bdr w:val="nil"/>
          <w:lang w:val="es-ES_tradnl"/>
        </w:rPr>
        <w:t xml:space="preserve"> se trata de una resolución judicial firmada por un funcionario judicial que ordena que una parte pague dinero a otra.</w:t>
      </w:r>
    </w:p>
    <w:p w14:paraId="2C95B7B8" w14:textId="77777777" w:rsidR="00C335D0" w:rsidRPr="00460551" w:rsidRDefault="00C335D0" w:rsidP="00AF3F01">
      <w:pPr>
        <w:spacing w:line="242" w:lineRule="exact"/>
        <w:rPr>
          <w:rFonts w:ascii="Symbol" w:eastAsia="Symbol" w:hAnsi="Symbol"/>
          <w:sz w:val="24"/>
          <w:lang w:val="es-MX"/>
        </w:rPr>
      </w:pPr>
    </w:p>
    <w:p w14:paraId="06B5D2EE" w14:textId="77777777" w:rsidR="00C335D0" w:rsidRPr="00460551" w:rsidRDefault="00C335D0" w:rsidP="00AF3F01">
      <w:pPr>
        <w:spacing w:line="0" w:lineRule="atLeast"/>
        <w:ind w:left="720"/>
        <w:rPr>
          <w:rFonts w:ascii="Times New Roman" w:eastAsia="Times New Roman" w:hAnsi="Times New Roman"/>
          <w:sz w:val="24"/>
          <w:lang w:val="es-MX"/>
        </w:rPr>
      </w:pPr>
      <w:r>
        <w:rPr>
          <w:rFonts w:ascii="Times New Roman" w:eastAsia="Times New Roman" w:hAnsi="Times New Roman" w:cs="Times New Roman"/>
          <w:sz w:val="24"/>
          <w:szCs w:val="24"/>
          <w:bdr w:val="nil"/>
          <w:lang w:val="es-ES_tradnl"/>
        </w:rPr>
        <w:t>Por lo general, hay tres partes en un proceso de embargo:</w:t>
      </w:r>
    </w:p>
    <w:p w14:paraId="0869BA13" w14:textId="77777777" w:rsidR="00C335D0" w:rsidRPr="00460551" w:rsidRDefault="00C335D0" w:rsidP="00AF3F01">
      <w:pPr>
        <w:spacing w:line="35" w:lineRule="exact"/>
        <w:rPr>
          <w:rFonts w:ascii="Symbol" w:eastAsia="Symbol" w:hAnsi="Symbol"/>
          <w:sz w:val="24"/>
          <w:lang w:val="es-MX"/>
        </w:rPr>
      </w:pPr>
    </w:p>
    <w:p w14:paraId="5B141490" w14:textId="77777777" w:rsidR="00C335D0" w:rsidRPr="00460551" w:rsidRDefault="00C335D0" w:rsidP="006B0BC2">
      <w:pPr>
        <w:numPr>
          <w:ilvl w:val="0"/>
          <w:numId w:val="3"/>
        </w:numPr>
        <w:tabs>
          <w:tab w:val="left" w:pos="720"/>
        </w:tabs>
        <w:spacing w:line="0" w:lineRule="atLeast"/>
        <w:ind w:left="1440" w:right="600"/>
        <w:rPr>
          <w:rFonts w:ascii="Symbol" w:eastAsia="Symbol" w:hAnsi="Symbol"/>
          <w:sz w:val="24"/>
          <w:lang w:val="es-MX"/>
        </w:rPr>
      </w:pPr>
      <w:r>
        <w:rPr>
          <w:rFonts w:ascii="Times New Roman" w:eastAsia="Times New Roman" w:hAnsi="Times New Roman" w:cs="Times New Roman"/>
          <w:sz w:val="24"/>
          <w:szCs w:val="24"/>
          <w:bdr w:val="nil"/>
          <w:lang w:val="es-ES_tradnl"/>
        </w:rPr>
        <w:t xml:space="preserve">El </w:t>
      </w:r>
      <w:r>
        <w:rPr>
          <w:rFonts w:ascii="Times New Roman" w:eastAsia="Times New Roman" w:hAnsi="Times New Roman" w:cs="Times New Roman"/>
          <w:sz w:val="24"/>
          <w:szCs w:val="24"/>
          <w:u w:val="single"/>
          <w:bdr w:val="nil"/>
          <w:lang w:val="es-ES_tradnl"/>
        </w:rPr>
        <w:t xml:space="preserve">ACREEDOR POR ADEUDO </w:t>
      </w:r>
      <w:r>
        <w:rPr>
          <w:rFonts w:ascii="Times New Roman" w:eastAsia="Times New Roman" w:hAnsi="Times New Roman" w:cs="Times New Roman"/>
          <w:sz w:val="24"/>
          <w:szCs w:val="24"/>
          <w:bdr w:val="nil"/>
          <w:lang w:val="es-ES_tradnl"/>
        </w:rPr>
        <w:t>se trata de la persona o entidad al que se le ha concedido una sentencia que condena al pago de una cantidad de dinero.</w:t>
      </w:r>
    </w:p>
    <w:p w14:paraId="2C65B1DA" w14:textId="77777777" w:rsidR="00C335D0" w:rsidRPr="00460551" w:rsidRDefault="00C335D0" w:rsidP="00AF3F01">
      <w:pPr>
        <w:spacing w:line="1" w:lineRule="exact"/>
        <w:ind w:left="1440"/>
        <w:rPr>
          <w:rFonts w:ascii="Symbol" w:eastAsia="Symbol" w:hAnsi="Symbol"/>
          <w:sz w:val="24"/>
          <w:lang w:val="es-MX"/>
        </w:rPr>
      </w:pPr>
    </w:p>
    <w:p w14:paraId="5464D45B" w14:textId="77777777" w:rsidR="00D64AEF" w:rsidRDefault="00C335D0" w:rsidP="00AF3F01">
      <w:pPr>
        <w:numPr>
          <w:ilvl w:val="0"/>
          <w:numId w:val="3"/>
        </w:numPr>
        <w:tabs>
          <w:tab w:val="left" w:pos="720"/>
        </w:tabs>
        <w:spacing w:line="0" w:lineRule="atLeast"/>
        <w:ind w:left="1440" w:right="600"/>
        <w:rPr>
          <w:rFonts w:ascii="Symbol" w:eastAsia="Symbol" w:hAnsi="Symbol"/>
          <w:sz w:val="24"/>
          <w:lang w:val="es-MX"/>
        </w:rPr>
      </w:pPr>
      <w:r>
        <w:rPr>
          <w:rFonts w:ascii="Times New Roman" w:eastAsia="Times New Roman" w:hAnsi="Times New Roman" w:cs="Times New Roman"/>
          <w:sz w:val="24"/>
          <w:szCs w:val="24"/>
          <w:bdr w:val="nil"/>
          <w:lang w:val="es-ES_tradnl"/>
        </w:rPr>
        <w:t xml:space="preserve">El </w:t>
      </w:r>
      <w:r>
        <w:rPr>
          <w:rFonts w:ascii="Times New Roman" w:eastAsia="Times New Roman" w:hAnsi="Times New Roman" w:cs="Times New Roman"/>
          <w:sz w:val="24"/>
          <w:szCs w:val="24"/>
          <w:u w:val="single"/>
          <w:bdr w:val="nil"/>
          <w:lang w:val="es-ES_tradnl"/>
        </w:rPr>
        <w:t>DEU</w:t>
      </w:r>
      <w:r w:rsidR="00B14180">
        <w:rPr>
          <w:rFonts w:ascii="Times New Roman" w:eastAsia="Times New Roman" w:hAnsi="Times New Roman" w:cs="Times New Roman"/>
          <w:sz w:val="24"/>
          <w:szCs w:val="24"/>
          <w:u w:val="single"/>
          <w:bdr w:val="nil"/>
          <w:lang w:val="es-ES_tradnl"/>
        </w:rPr>
        <w:t xml:space="preserve">DOR </w:t>
      </w:r>
      <w:r>
        <w:rPr>
          <w:rFonts w:ascii="Times New Roman" w:eastAsia="Times New Roman" w:hAnsi="Times New Roman" w:cs="Times New Roman"/>
          <w:sz w:val="24"/>
          <w:szCs w:val="24"/>
          <w:u w:val="single"/>
          <w:bdr w:val="nil"/>
          <w:lang w:val="es-ES_tradnl"/>
        </w:rPr>
        <w:t>POR CRÉDITO DERIVADO DE UNA SENTENCIA</w:t>
      </w:r>
      <w:r>
        <w:rPr>
          <w:rFonts w:ascii="Times New Roman" w:eastAsia="Times New Roman" w:hAnsi="Times New Roman" w:cs="Times New Roman"/>
          <w:sz w:val="24"/>
          <w:szCs w:val="24"/>
          <w:bdr w:val="nil"/>
          <w:lang w:val="es-ES_tradnl"/>
        </w:rPr>
        <w:t xml:space="preserve"> se trata de la persona o entidad que debe el dinero.</w:t>
      </w:r>
    </w:p>
    <w:p w14:paraId="3B3390EF" w14:textId="77777777" w:rsidR="00C335D0" w:rsidRPr="00D64AEF" w:rsidRDefault="00C335D0" w:rsidP="006B0BC2">
      <w:pPr>
        <w:numPr>
          <w:ilvl w:val="0"/>
          <w:numId w:val="3"/>
        </w:numPr>
        <w:tabs>
          <w:tab w:val="left" w:pos="720"/>
        </w:tabs>
        <w:spacing w:line="0" w:lineRule="atLeast"/>
        <w:ind w:left="1440" w:right="600"/>
        <w:rPr>
          <w:rFonts w:ascii="Symbol" w:eastAsia="Symbol" w:hAnsi="Symbol"/>
          <w:sz w:val="24"/>
          <w:lang w:val="es-MX"/>
        </w:rPr>
      </w:pPr>
      <w:r w:rsidRPr="00D64AEF">
        <w:rPr>
          <w:rFonts w:ascii="Times New Roman" w:eastAsia="Times New Roman" w:hAnsi="Times New Roman" w:cs="Times New Roman"/>
          <w:sz w:val="24"/>
          <w:szCs w:val="24"/>
          <w:bdr w:val="nil"/>
          <w:lang w:val="es-ES_tradnl"/>
        </w:rPr>
        <w:t xml:space="preserve">El </w:t>
      </w:r>
      <w:r w:rsidR="00EA6A5D" w:rsidRPr="00D64AEF">
        <w:rPr>
          <w:rFonts w:ascii="Times New Roman" w:eastAsia="Times New Roman" w:hAnsi="Times New Roman" w:cs="Times New Roman"/>
          <w:sz w:val="24"/>
          <w:szCs w:val="24"/>
          <w:u w:val="single"/>
          <w:bdr w:val="nil"/>
          <w:lang w:val="es-ES_tradnl"/>
        </w:rPr>
        <w:t>TERCERO EMBARGADO</w:t>
      </w:r>
      <w:r w:rsidRPr="00D64AEF">
        <w:rPr>
          <w:rFonts w:ascii="Times New Roman" w:eastAsia="Times New Roman" w:hAnsi="Times New Roman" w:cs="Times New Roman"/>
          <w:sz w:val="24"/>
          <w:szCs w:val="24"/>
          <w:bdr w:val="nil"/>
          <w:lang w:val="es-ES_tradnl"/>
        </w:rPr>
        <w:t xml:space="preserve"> se trata de la persona o entidad que </w:t>
      </w:r>
      <w:r w:rsidR="00A96F36" w:rsidRPr="00D64AEF">
        <w:rPr>
          <w:rFonts w:ascii="Times New Roman" w:eastAsia="Times New Roman" w:hAnsi="Times New Roman" w:cs="Times New Roman"/>
          <w:sz w:val="24"/>
          <w:szCs w:val="24"/>
          <w:bdr w:val="nil"/>
          <w:lang w:val="es-ES_tradnl"/>
        </w:rPr>
        <w:t>retiene</w:t>
      </w:r>
      <w:r w:rsidRPr="00D64AEF">
        <w:rPr>
          <w:rFonts w:ascii="Times New Roman" w:eastAsia="Times New Roman" w:hAnsi="Times New Roman" w:cs="Times New Roman"/>
          <w:sz w:val="24"/>
          <w:szCs w:val="24"/>
          <w:bdr w:val="nil"/>
          <w:lang w:val="es-ES_tradnl"/>
        </w:rPr>
        <w:t xml:space="preserve"> dinero o bienes que pertenecen al deudor. </w:t>
      </w:r>
    </w:p>
    <w:p w14:paraId="444BED8D" w14:textId="77777777" w:rsidR="00C335D0" w:rsidRPr="00460551" w:rsidRDefault="00C335D0" w:rsidP="00AF3F01">
      <w:pPr>
        <w:spacing w:line="248" w:lineRule="exact"/>
        <w:rPr>
          <w:rFonts w:ascii="Symbol" w:eastAsia="Symbol" w:hAnsi="Symbol"/>
          <w:sz w:val="24"/>
          <w:lang w:val="es-MX"/>
        </w:rPr>
      </w:pPr>
    </w:p>
    <w:p w14:paraId="2FE51410" w14:textId="77777777" w:rsidR="00C335D0" w:rsidRPr="00460551" w:rsidRDefault="00C335D0" w:rsidP="00AF3F01">
      <w:pPr>
        <w:spacing w:line="259" w:lineRule="auto"/>
        <w:ind w:left="720" w:right="600"/>
        <w:rPr>
          <w:rFonts w:ascii="Times New Roman" w:eastAsia="Times New Roman" w:hAnsi="Times New Roman"/>
          <w:sz w:val="23"/>
          <w:lang w:val="es-MX"/>
        </w:rPr>
      </w:pPr>
      <w:r w:rsidRPr="00AF3F01">
        <w:rPr>
          <w:rFonts w:ascii="Times New Roman" w:eastAsia="Times New Roman" w:hAnsi="Times New Roman" w:cs="Times New Roman"/>
          <w:sz w:val="23"/>
          <w:szCs w:val="23"/>
          <w:bdr w:val="nil"/>
          <w:lang w:val="es-ES_tradnl"/>
        </w:rPr>
        <w:t>Una vez que se dicte la sentencia a favor de una parte, dicha parte llega a ser el acreedor por adeudo. El tribunal no empieza el proceso para cobrar el dinero que se le debe al acreedor por adeudo. El acreedor por adeudo es responsable de cobrar el dinero, si es que el deudor no le paga de forma voluntaria. El acreedor por adeudo tiene varias opciones a su disposición para hacer válida la sentencia.</w:t>
      </w:r>
      <w:r w:rsidRPr="00AF3F01">
        <w:rPr>
          <w:rFonts w:ascii="Times New Roman" w:eastAsia="Times New Roman" w:hAnsi="Times New Roman" w:cs="Times New Roman"/>
          <w:b/>
          <w:sz w:val="23"/>
          <w:szCs w:val="23"/>
          <w:bdr w:val="nil"/>
          <w:lang w:val="es-ES_tradnl"/>
        </w:rPr>
        <w:t xml:space="preserve"> </w:t>
      </w:r>
      <w:r>
        <w:rPr>
          <w:rFonts w:ascii="Times New Roman" w:eastAsia="Times New Roman" w:hAnsi="Times New Roman" w:cs="Times New Roman"/>
          <w:sz w:val="23"/>
          <w:szCs w:val="23"/>
          <w:bdr w:val="nil"/>
          <w:lang w:val="es-ES_tradnl"/>
        </w:rPr>
        <w:t>Una de esas opciones se trata del embargo, por el cual se puede hacer válida una sentencia al cobrar de las siguientes fuentes:</w:t>
      </w:r>
    </w:p>
    <w:p w14:paraId="023F7B7D" w14:textId="77777777" w:rsidR="00C335D0" w:rsidRPr="00460551" w:rsidRDefault="00C335D0" w:rsidP="00AF3F01">
      <w:pPr>
        <w:spacing w:line="3" w:lineRule="exact"/>
        <w:rPr>
          <w:rFonts w:ascii="Symbol" w:eastAsia="Symbol" w:hAnsi="Symbol"/>
          <w:sz w:val="24"/>
          <w:lang w:val="es-MX"/>
        </w:rPr>
      </w:pPr>
    </w:p>
    <w:p w14:paraId="58711D6F" w14:textId="77777777" w:rsidR="00D64AEF" w:rsidRDefault="00C335D0" w:rsidP="00AF3F01">
      <w:pPr>
        <w:numPr>
          <w:ilvl w:val="0"/>
          <w:numId w:val="7"/>
        </w:numPr>
        <w:spacing w:line="0" w:lineRule="atLeast"/>
        <w:ind w:left="1440" w:right="600" w:hanging="360"/>
        <w:rPr>
          <w:rFonts w:ascii="Symbol" w:eastAsia="Symbol" w:hAnsi="Symbol"/>
          <w:sz w:val="24"/>
          <w:lang w:val="es-MX"/>
        </w:rPr>
      </w:pPr>
      <w:r>
        <w:rPr>
          <w:rFonts w:ascii="Times New Roman" w:eastAsia="Times New Roman" w:hAnsi="Times New Roman" w:cs="Times New Roman"/>
          <w:sz w:val="24"/>
          <w:szCs w:val="24"/>
          <w:bdr w:val="nil"/>
          <w:lang w:val="es-ES_tradnl"/>
        </w:rPr>
        <w:t>Dinero que proviene de un sueldo: salarios, comisiones, pensiones, o bonos pagados o pagaderos al deudor.</w:t>
      </w:r>
    </w:p>
    <w:p w14:paraId="06831FEB" w14:textId="77777777" w:rsidR="00C335D0" w:rsidRPr="00D64AEF" w:rsidRDefault="00C335D0" w:rsidP="00AF3F01">
      <w:pPr>
        <w:numPr>
          <w:ilvl w:val="0"/>
          <w:numId w:val="7"/>
        </w:numPr>
        <w:spacing w:line="0" w:lineRule="atLeast"/>
        <w:ind w:left="1440" w:right="600" w:hanging="360"/>
        <w:rPr>
          <w:rFonts w:ascii="Symbol" w:eastAsia="Symbol" w:hAnsi="Symbol"/>
          <w:sz w:val="24"/>
          <w:lang w:val="es-MX"/>
        </w:rPr>
      </w:pPr>
      <w:r w:rsidRPr="00D64AEF">
        <w:rPr>
          <w:rFonts w:ascii="Times New Roman" w:eastAsia="Times New Roman" w:hAnsi="Times New Roman" w:cs="Times New Roman"/>
          <w:sz w:val="24"/>
          <w:szCs w:val="24"/>
          <w:bdr w:val="nil"/>
          <w:lang w:val="es-ES_tradnl"/>
        </w:rPr>
        <w:t>Dinero o bienes que no provienen de un sueldo: dinero o bienes que se le deben al deudor que se encuentran en la posesión de un tercero, como alquiler o una cuenta bancaria o el contenido de una caja de seguridad.</w:t>
      </w:r>
    </w:p>
    <w:p w14:paraId="6F6C36C3" w14:textId="77777777" w:rsidR="00C335D0" w:rsidRPr="00460551" w:rsidRDefault="00C335D0" w:rsidP="00AF3F01">
      <w:pPr>
        <w:spacing w:line="240" w:lineRule="exact"/>
        <w:rPr>
          <w:rFonts w:ascii="Symbol" w:eastAsia="Symbol" w:hAnsi="Symbol"/>
          <w:sz w:val="24"/>
          <w:lang w:val="es-MX"/>
        </w:rPr>
      </w:pPr>
    </w:p>
    <w:p w14:paraId="257DC01E" w14:textId="77777777" w:rsidR="00C335D0" w:rsidRPr="00460551" w:rsidRDefault="00C335D0" w:rsidP="00AF3F01">
      <w:pPr>
        <w:spacing w:line="249" w:lineRule="auto"/>
        <w:ind w:left="720" w:right="600"/>
        <w:rPr>
          <w:rFonts w:ascii="Times New Roman" w:eastAsia="Times New Roman" w:hAnsi="Times New Roman"/>
          <w:sz w:val="24"/>
          <w:lang w:val="es-MX"/>
        </w:rPr>
      </w:pPr>
      <w:r>
        <w:rPr>
          <w:rFonts w:ascii="Times New Roman" w:eastAsia="Times New Roman" w:hAnsi="Times New Roman" w:cs="Times New Roman"/>
          <w:b/>
          <w:sz w:val="24"/>
          <w:szCs w:val="24"/>
          <w:bdr w:val="nil"/>
          <w:lang w:val="es-ES_tradnl"/>
        </w:rPr>
        <w:t xml:space="preserve">Si el acreedor por adeudo desea empezar con el proceso de embargo, debe tener información financiera específica y precisa para poder proceder, incluyendo la dirección donde recibe correo el deudor, el empleador o el tenedor de los bienes. Si se presentan de forma incorrecta los documentos para empezar el trámite judicial, se le puede exigir al acreedor por adeudo pagar las costas del </w:t>
      </w:r>
      <w:r w:rsidR="00EA6A5D">
        <w:rPr>
          <w:rFonts w:ascii="Times New Roman" w:eastAsia="Times New Roman" w:hAnsi="Times New Roman" w:cs="Times New Roman"/>
          <w:b/>
          <w:sz w:val="24"/>
          <w:szCs w:val="24"/>
          <w:bdr w:val="nil"/>
          <w:lang w:val="es-ES_tradnl"/>
        </w:rPr>
        <w:t>tercero embargado</w:t>
      </w:r>
      <w:r>
        <w:rPr>
          <w:rFonts w:ascii="Times New Roman" w:eastAsia="Times New Roman" w:hAnsi="Times New Roman" w:cs="Times New Roman"/>
          <w:b/>
          <w:sz w:val="24"/>
          <w:szCs w:val="24"/>
          <w:bdr w:val="nil"/>
          <w:lang w:val="es-ES_tradnl"/>
        </w:rPr>
        <w:t>, que incluyen los hon</w:t>
      </w:r>
      <w:r w:rsidR="00460551">
        <w:rPr>
          <w:rFonts w:ascii="Times New Roman" w:eastAsia="Times New Roman" w:hAnsi="Times New Roman" w:cs="Times New Roman"/>
          <w:b/>
          <w:sz w:val="24"/>
          <w:szCs w:val="24"/>
          <w:bdr w:val="nil"/>
          <w:lang w:val="es-ES_tradnl"/>
        </w:rPr>
        <w:t>or</w:t>
      </w:r>
      <w:r>
        <w:rPr>
          <w:rFonts w:ascii="Times New Roman" w:eastAsia="Times New Roman" w:hAnsi="Times New Roman" w:cs="Times New Roman"/>
          <w:b/>
          <w:sz w:val="24"/>
          <w:szCs w:val="24"/>
          <w:bdr w:val="nil"/>
          <w:lang w:val="es-ES_tradnl"/>
        </w:rPr>
        <w:t>arios de abogado.</w:t>
      </w:r>
      <w:r w:rsidR="00460551">
        <w:rPr>
          <w:rFonts w:ascii="Times New Roman" w:eastAsia="Times New Roman" w:hAnsi="Times New Roman" w:cs="Times New Roman"/>
          <w:b/>
          <w:sz w:val="24"/>
          <w:szCs w:val="24"/>
          <w:bdr w:val="nil"/>
          <w:lang w:val="es-ES_tradnl"/>
        </w:rPr>
        <w:t xml:space="preserve"> </w:t>
      </w:r>
      <w:r>
        <w:rPr>
          <w:rFonts w:ascii="Times New Roman" w:eastAsia="Times New Roman" w:hAnsi="Times New Roman" w:cs="Times New Roman"/>
          <w:sz w:val="24"/>
          <w:szCs w:val="24"/>
          <w:bdr w:val="nil"/>
          <w:lang w:val="es-ES_tradnl"/>
        </w:rPr>
        <w:t>Si el deudor no proporciona dicha información de forma voluntaria, el acreedor por adeudo puede solicitar una orden judicial que obliga al deudor contestar a las preguntas en cuanto a su situación financiera.</w:t>
      </w:r>
    </w:p>
    <w:p w14:paraId="643FFA51" w14:textId="77777777" w:rsidR="00C335D0" w:rsidRPr="00460551" w:rsidRDefault="00C335D0" w:rsidP="00AF3F01">
      <w:pPr>
        <w:spacing w:line="242" w:lineRule="exact"/>
        <w:rPr>
          <w:rFonts w:ascii="Symbol" w:eastAsia="Symbol" w:hAnsi="Symbol"/>
          <w:sz w:val="24"/>
          <w:lang w:val="es-MX"/>
        </w:rPr>
      </w:pPr>
    </w:p>
    <w:p w14:paraId="0572D0D8" w14:textId="77777777" w:rsidR="00C335D0" w:rsidRPr="00460551" w:rsidRDefault="00C335D0" w:rsidP="00AF3F01">
      <w:pPr>
        <w:spacing w:line="258" w:lineRule="auto"/>
        <w:ind w:left="720" w:right="600"/>
        <w:rPr>
          <w:rFonts w:ascii="Times New Roman" w:eastAsia="Times New Roman" w:hAnsi="Times New Roman"/>
          <w:sz w:val="24"/>
          <w:lang w:val="es-MX"/>
        </w:rPr>
      </w:pPr>
      <w:r>
        <w:rPr>
          <w:rFonts w:ascii="Times New Roman" w:eastAsia="Times New Roman" w:hAnsi="Times New Roman" w:cs="Times New Roman"/>
          <w:sz w:val="24"/>
          <w:szCs w:val="24"/>
          <w:bdr w:val="nil"/>
          <w:lang w:val="es-ES_tradnl"/>
        </w:rPr>
        <w:t>Para poder pedir un embargo en un tribunal de Arizona, el dinero o los bienes que se pretenden cobrar deben estar en el estado de Arizona. No se podrá utilizar un proceso de embargo para cobrar dinero o bienes que se encuentran en otro estado.</w:t>
      </w:r>
    </w:p>
    <w:p w14:paraId="20C292A9" w14:textId="77777777" w:rsidR="00C335D0" w:rsidRPr="00460551" w:rsidRDefault="00C335D0" w:rsidP="00AF3F01">
      <w:pPr>
        <w:spacing w:line="225" w:lineRule="exact"/>
        <w:rPr>
          <w:rFonts w:ascii="Symbol" w:eastAsia="Symbol" w:hAnsi="Symbol"/>
          <w:sz w:val="24"/>
          <w:lang w:val="es-MX"/>
        </w:rPr>
      </w:pPr>
    </w:p>
    <w:p w14:paraId="63812CF7" w14:textId="77777777" w:rsidR="00C335D0" w:rsidRPr="00460551" w:rsidRDefault="00C335D0" w:rsidP="00AF3F01">
      <w:pPr>
        <w:spacing w:line="250" w:lineRule="auto"/>
        <w:ind w:left="720" w:right="600"/>
        <w:rPr>
          <w:rFonts w:ascii="Times New Roman" w:eastAsia="Times New Roman" w:hAnsi="Times New Roman"/>
          <w:sz w:val="24"/>
          <w:lang w:val="es-MX"/>
        </w:rPr>
      </w:pPr>
      <w:r>
        <w:rPr>
          <w:rFonts w:ascii="Times New Roman" w:eastAsia="Times New Roman" w:hAnsi="Times New Roman" w:cs="Times New Roman"/>
          <w:sz w:val="24"/>
          <w:szCs w:val="24"/>
          <w:bdr w:val="nil"/>
          <w:lang w:val="es-ES_tradnl"/>
        </w:rPr>
        <w:t>Los procesos y formularios que se utilizan para hacer válidas las sentencias donde el pago proviene</w:t>
      </w:r>
      <w:r>
        <w:rPr>
          <w:rFonts w:ascii="Times New Roman" w:eastAsia="Times New Roman" w:hAnsi="Times New Roman" w:cs="Times New Roman"/>
          <w:b/>
          <w:sz w:val="24"/>
          <w:szCs w:val="24"/>
          <w:bdr w:val="nil"/>
          <w:lang w:val="es-ES_tradnl"/>
        </w:rPr>
        <w:t xml:space="preserve"> de un sueldo</w:t>
      </w:r>
      <w:r>
        <w:rPr>
          <w:rFonts w:ascii="Times New Roman" w:eastAsia="Times New Roman" w:hAnsi="Times New Roman" w:cs="Times New Roman"/>
          <w:sz w:val="24"/>
          <w:szCs w:val="24"/>
          <w:bdr w:val="nil"/>
          <w:lang w:val="es-ES_tradnl"/>
        </w:rPr>
        <w:t xml:space="preserve"> son diferentes a los que se necesitan para hacer válidas las sentencias donde el pago </w:t>
      </w:r>
      <w:r>
        <w:rPr>
          <w:rFonts w:ascii="Times New Roman" w:eastAsia="Times New Roman" w:hAnsi="Times New Roman" w:cs="Times New Roman"/>
          <w:b/>
          <w:sz w:val="24"/>
          <w:szCs w:val="24"/>
          <w:bdr w:val="nil"/>
          <w:lang w:val="es-ES_tradnl"/>
        </w:rPr>
        <w:t>no proviene de un sueldo</w:t>
      </w:r>
      <w:r>
        <w:rPr>
          <w:rFonts w:ascii="Times New Roman" w:eastAsia="Times New Roman" w:hAnsi="Times New Roman" w:cs="Times New Roman"/>
          <w:sz w:val="24"/>
          <w:szCs w:val="24"/>
          <w:bdr w:val="nil"/>
          <w:lang w:val="es-ES_tradnl"/>
        </w:rPr>
        <w:t>.  Hay dos series de documentos distintas para los dos tipos de embargos. Al principio de cada serie de documentos usted verá una lista de control del proceso para el acreedor por adeudo. Lea detenidamente dicho documento para entender mejor sus re</w:t>
      </w:r>
      <w:r w:rsidR="00460551">
        <w:rPr>
          <w:rFonts w:ascii="Times New Roman" w:eastAsia="Times New Roman" w:hAnsi="Times New Roman" w:cs="Times New Roman"/>
          <w:sz w:val="24"/>
          <w:szCs w:val="24"/>
          <w:bdr w:val="nil"/>
          <w:lang w:val="es-ES_tradnl"/>
        </w:rPr>
        <w:t>sponsabilidades a la hora de re</w:t>
      </w:r>
      <w:r>
        <w:rPr>
          <w:rFonts w:ascii="Times New Roman" w:eastAsia="Times New Roman" w:hAnsi="Times New Roman" w:cs="Times New Roman"/>
          <w:sz w:val="24"/>
          <w:szCs w:val="24"/>
          <w:bdr w:val="nil"/>
          <w:lang w:val="es-ES_tradnl"/>
        </w:rPr>
        <w:t>presentarse en un proceso de embargo.</w:t>
      </w:r>
    </w:p>
    <w:p w14:paraId="6DA6FC2F" w14:textId="77777777" w:rsidR="00C335D0" w:rsidRPr="00460551" w:rsidRDefault="00C335D0" w:rsidP="00AF3F01">
      <w:pPr>
        <w:spacing w:line="2" w:lineRule="exact"/>
        <w:rPr>
          <w:rFonts w:ascii="Symbol" w:eastAsia="Symbol" w:hAnsi="Symbol"/>
          <w:sz w:val="24"/>
          <w:lang w:val="es-MX"/>
        </w:rPr>
      </w:pPr>
    </w:p>
    <w:p w14:paraId="3A258BF7" w14:textId="77777777" w:rsidR="00C335D0" w:rsidRPr="00460551" w:rsidRDefault="00C335D0" w:rsidP="00AF3F01">
      <w:pPr>
        <w:numPr>
          <w:ilvl w:val="0"/>
          <w:numId w:val="8"/>
        </w:numPr>
        <w:tabs>
          <w:tab w:val="left" w:pos="1080"/>
        </w:tabs>
        <w:spacing w:line="0" w:lineRule="atLeast"/>
        <w:ind w:right="600"/>
        <w:rPr>
          <w:rFonts w:ascii="Symbol" w:eastAsia="Symbol" w:hAnsi="Symbol"/>
          <w:sz w:val="24"/>
          <w:lang w:val="es-MX"/>
        </w:rPr>
      </w:pPr>
      <w:r>
        <w:rPr>
          <w:rFonts w:ascii="Times New Roman" w:eastAsia="Times New Roman" w:hAnsi="Times New Roman" w:cs="Times New Roman"/>
          <w:sz w:val="24"/>
          <w:szCs w:val="24"/>
          <w:bdr w:val="nil"/>
          <w:lang w:val="es-ES_tradnl"/>
        </w:rPr>
        <w:t xml:space="preserve">Para hacer válida una sentencia donde el pago proviene de un sueldo, utilice los formularios en la serie de documentos </w:t>
      </w:r>
      <w:r>
        <w:rPr>
          <w:rFonts w:ascii="Times New Roman" w:eastAsia="Times New Roman" w:hAnsi="Times New Roman" w:cs="Times New Roman"/>
          <w:b/>
          <w:sz w:val="24"/>
          <w:szCs w:val="24"/>
          <w:bdr w:val="nil"/>
          <w:lang w:val="es-ES_tradnl"/>
        </w:rPr>
        <w:t>embargo de sueldo.</w:t>
      </w:r>
    </w:p>
    <w:p w14:paraId="4D7743FE" w14:textId="77777777" w:rsidR="00C335D0" w:rsidRPr="00460551" w:rsidRDefault="00C335D0" w:rsidP="00AF3F01">
      <w:pPr>
        <w:spacing w:line="1" w:lineRule="exact"/>
        <w:rPr>
          <w:rFonts w:ascii="Symbol" w:eastAsia="Symbol" w:hAnsi="Symbol"/>
          <w:sz w:val="24"/>
          <w:lang w:val="es-MX"/>
        </w:rPr>
      </w:pPr>
    </w:p>
    <w:p w14:paraId="73784921" w14:textId="77777777" w:rsidR="00C335D0" w:rsidRPr="00460551" w:rsidRDefault="00C335D0" w:rsidP="00AF3F01">
      <w:pPr>
        <w:numPr>
          <w:ilvl w:val="0"/>
          <w:numId w:val="8"/>
        </w:numPr>
        <w:tabs>
          <w:tab w:val="left" w:pos="1080"/>
        </w:tabs>
        <w:spacing w:line="244" w:lineRule="auto"/>
        <w:ind w:right="600"/>
        <w:rPr>
          <w:rFonts w:ascii="Symbol" w:eastAsia="Symbol" w:hAnsi="Symbol"/>
          <w:sz w:val="24"/>
          <w:lang w:val="es-MX"/>
        </w:rPr>
      </w:pPr>
      <w:r>
        <w:rPr>
          <w:rFonts w:ascii="Times New Roman" w:eastAsia="Times New Roman" w:hAnsi="Times New Roman" w:cs="Times New Roman"/>
          <w:sz w:val="24"/>
          <w:szCs w:val="24"/>
          <w:bdr w:val="nil"/>
          <w:lang w:val="es-ES_tradnl"/>
        </w:rPr>
        <w:t xml:space="preserve">Para hacer válida una sentencia donde el pago no proviene de un sueldo, utilice los formularios en la serie de documentos </w:t>
      </w:r>
      <w:r>
        <w:rPr>
          <w:rFonts w:ascii="Times New Roman" w:eastAsia="Times New Roman" w:hAnsi="Times New Roman" w:cs="Times New Roman"/>
          <w:b/>
          <w:sz w:val="24"/>
          <w:szCs w:val="24"/>
          <w:bdr w:val="nil"/>
          <w:lang w:val="es-ES_tradnl"/>
        </w:rPr>
        <w:t>embargo de bienes que no sean de un sueldo.</w:t>
      </w:r>
    </w:p>
    <w:sectPr w:rsidR="00C335D0" w:rsidRPr="00460551" w:rsidSect="00AF3F01">
      <w:footerReference w:type="default" r:id="rId10"/>
      <w:pgSz w:w="12240" w:h="15840"/>
      <w:pgMar w:top="702" w:right="840" w:bottom="0" w:left="720" w:header="720" w:footer="720" w:gutter="0"/>
      <w:cols w:space="0" w:equalWidth="0">
        <w:col w:w="10680"/>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5F22A9" w14:textId="77777777" w:rsidR="007B51AF" w:rsidRDefault="007B51AF" w:rsidP="00AF3F01">
      <w:r>
        <w:separator/>
      </w:r>
    </w:p>
  </w:endnote>
  <w:endnote w:type="continuationSeparator" w:id="0">
    <w:p w14:paraId="315C6FBC" w14:textId="77777777" w:rsidR="007B51AF" w:rsidRDefault="007B51AF" w:rsidP="00AF3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9A26C7" w14:textId="4687E6C7" w:rsidR="00AF3F01" w:rsidRDefault="00AF3F01" w:rsidP="00AF3F01">
    <w:pPr>
      <w:tabs>
        <w:tab w:val="center" w:pos="5400"/>
        <w:tab w:val="right" w:pos="10800"/>
      </w:tabs>
      <w:rPr>
        <w:rFonts w:ascii="Times New Roman" w:hAnsi="Times New Roman" w:cs="Times New Roman"/>
        <w:sz w:val="16"/>
        <w:szCs w:val="16"/>
      </w:rPr>
    </w:pPr>
    <w:r w:rsidRPr="000E64D0">
      <w:rPr>
        <w:rFonts w:ascii="Times New Roman" w:hAnsi="Times New Roman" w:cs="Times New Roman"/>
        <w:sz w:val="16"/>
        <w:szCs w:val="16"/>
      </w:rPr>
      <w:t>Arizona Supreme Court</w:t>
    </w:r>
    <w:r w:rsidRPr="000E64D0">
      <w:rPr>
        <w:rFonts w:ascii="Times New Roman" w:hAnsi="Times New Roman" w:cs="Times New Roman"/>
        <w:sz w:val="16"/>
        <w:szCs w:val="16"/>
      </w:rPr>
      <w:tab/>
      <w:t xml:space="preserve">Page </w:t>
    </w:r>
    <w:r w:rsidRPr="000E64D0">
      <w:rPr>
        <w:rFonts w:ascii="Times New Roman" w:hAnsi="Times New Roman" w:cs="Times New Roman"/>
        <w:bCs/>
        <w:sz w:val="16"/>
        <w:szCs w:val="16"/>
      </w:rPr>
      <w:fldChar w:fldCharType="begin"/>
    </w:r>
    <w:r w:rsidRPr="000E64D0">
      <w:rPr>
        <w:rFonts w:ascii="Times New Roman" w:hAnsi="Times New Roman" w:cs="Times New Roman"/>
        <w:bCs/>
        <w:sz w:val="16"/>
        <w:szCs w:val="16"/>
      </w:rPr>
      <w:instrText xml:space="preserve"> PAGE  \* Arabic  \* MERGEFORMAT </w:instrText>
    </w:r>
    <w:r w:rsidRPr="000E64D0">
      <w:rPr>
        <w:rFonts w:ascii="Times New Roman" w:hAnsi="Times New Roman" w:cs="Times New Roman"/>
        <w:bCs/>
        <w:sz w:val="16"/>
        <w:szCs w:val="16"/>
      </w:rPr>
      <w:fldChar w:fldCharType="separate"/>
    </w:r>
    <w:r>
      <w:rPr>
        <w:rFonts w:ascii="Times New Roman" w:hAnsi="Times New Roman"/>
        <w:bCs/>
        <w:sz w:val="16"/>
        <w:szCs w:val="16"/>
      </w:rPr>
      <w:t>1</w:t>
    </w:r>
    <w:r w:rsidRPr="000E64D0">
      <w:rPr>
        <w:rFonts w:ascii="Times New Roman" w:hAnsi="Times New Roman" w:cs="Times New Roman"/>
        <w:bCs/>
        <w:sz w:val="16"/>
        <w:szCs w:val="16"/>
      </w:rPr>
      <w:fldChar w:fldCharType="end"/>
    </w:r>
    <w:r w:rsidRPr="000E64D0">
      <w:rPr>
        <w:rFonts w:ascii="Times New Roman" w:hAnsi="Times New Roman" w:cs="Times New Roman"/>
        <w:sz w:val="16"/>
        <w:szCs w:val="16"/>
      </w:rPr>
      <w:t xml:space="preserve"> of </w:t>
    </w:r>
    <w:r w:rsidRPr="000E64D0">
      <w:rPr>
        <w:rFonts w:ascii="Times New Roman" w:hAnsi="Times New Roman" w:cs="Times New Roman"/>
        <w:bCs/>
        <w:sz w:val="16"/>
        <w:szCs w:val="16"/>
      </w:rPr>
      <w:fldChar w:fldCharType="begin"/>
    </w:r>
    <w:r w:rsidRPr="000E64D0">
      <w:rPr>
        <w:rFonts w:ascii="Times New Roman" w:hAnsi="Times New Roman" w:cs="Times New Roman"/>
        <w:bCs/>
        <w:sz w:val="16"/>
        <w:szCs w:val="16"/>
      </w:rPr>
      <w:instrText xml:space="preserve"> NUMPAGES  \* Arabic  \* MERGEFORMAT </w:instrText>
    </w:r>
    <w:r w:rsidRPr="000E64D0">
      <w:rPr>
        <w:rFonts w:ascii="Times New Roman" w:hAnsi="Times New Roman" w:cs="Times New Roman"/>
        <w:bCs/>
        <w:sz w:val="16"/>
        <w:szCs w:val="16"/>
      </w:rPr>
      <w:fldChar w:fldCharType="separate"/>
    </w:r>
    <w:r>
      <w:rPr>
        <w:rFonts w:ascii="Times New Roman" w:hAnsi="Times New Roman"/>
        <w:bCs/>
        <w:sz w:val="16"/>
        <w:szCs w:val="16"/>
      </w:rPr>
      <w:t>2</w:t>
    </w:r>
    <w:r w:rsidRPr="000E64D0">
      <w:rPr>
        <w:rFonts w:ascii="Times New Roman" w:hAnsi="Times New Roman" w:cs="Times New Roman"/>
        <w:bCs/>
        <w:sz w:val="16"/>
        <w:szCs w:val="16"/>
      </w:rPr>
      <w:fldChar w:fldCharType="end"/>
    </w:r>
    <w:r>
      <w:rPr>
        <w:rFonts w:ascii="Times New Roman" w:hAnsi="Times New Roman" w:cs="Times New Roman"/>
        <w:sz w:val="16"/>
        <w:szCs w:val="16"/>
      </w:rPr>
      <w:tab/>
      <w:t>AOCCVG</w:t>
    </w:r>
    <w:r w:rsidR="0065350A">
      <w:rPr>
        <w:rFonts w:ascii="Times New Roman" w:hAnsi="Times New Roman" w:cs="Times New Roman"/>
        <w:sz w:val="16"/>
        <w:szCs w:val="16"/>
      </w:rPr>
      <w:t>N</w:t>
    </w:r>
    <w:r>
      <w:rPr>
        <w:rFonts w:ascii="Times New Roman" w:hAnsi="Times New Roman" w:cs="Times New Roman"/>
        <w:sz w:val="16"/>
        <w:szCs w:val="16"/>
      </w:rPr>
      <w:t>1HS-111617</w:t>
    </w:r>
  </w:p>
  <w:p w14:paraId="0CCE8380" w14:textId="77777777" w:rsidR="00AF3F01" w:rsidRPr="00AF3F01" w:rsidRDefault="00AF3F01" w:rsidP="00AF3F01">
    <w:pPr>
      <w:tabs>
        <w:tab w:val="center" w:pos="5400"/>
        <w:tab w:val="right" w:pos="10800"/>
      </w:tabs>
      <w:rPr>
        <w:rFonts w:ascii="Times New Roman" w:hAnsi="Times New Roman" w:cs="Times New Roman"/>
        <w:sz w:val="16"/>
        <w:szCs w:val="16"/>
      </w:rPr>
    </w:pPr>
    <w:r w:rsidRPr="00AF3F01">
      <w:rPr>
        <w:rFonts w:ascii="Times New Roman" w:hAnsi="Times New Roman" w:cs="Times New Roman"/>
        <w:sz w:val="16"/>
        <w:szCs w:val="16"/>
      </w:rPr>
      <w:t>Introduction to Garnishment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D2495" w14:textId="77777777" w:rsidR="007B51AF" w:rsidRDefault="007B51AF" w:rsidP="00AF3F01">
      <w:r>
        <w:separator/>
      </w:r>
    </w:p>
  </w:footnote>
  <w:footnote w:type="continuationSeparator" w:id="0">
    <w:p w14:paraId="588D9BED" w14:textId="77777777" w:rsidR="007B51AF" w:rsidRDefault="007B51AF" w:rsidP="00AF3F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910889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CBC3A2E"/>
    <w:multiLevelType w:val="hybridMultilevel"/>
    <w:tmpl w:val="BC9EACD2"/>
    <w:lvl w:ilvl="0" w:tplc="04090001">
      <w:start w:val="1"/>
      <w:numFmt w:val="bullet"/>
      <w:lvlText w:val=""/>
      <w:lvlJc w:val="left"/>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4784648"/>
    <w:multiLevelType w:val="hybridMultilevel"/>
    <w:tmpl w:val="DFA0BC14"/>
    <w:lvl w:ilvl="0" w:tplc="FFFFFFFF">
      <w:start w:val="1"/>
      <w:numFmt w:val="bullet"/>
      <w:lvlText w:val="•"/>
      <w:lvlJc w:val="left"/>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F0C195C"/>
    <w:multiLevelType w:val="hybridMultilevel"/>
    <w:tmpl w:val="4426C05C"/>
    <w:lvl w:ilvl="0" w:tplc="FFFFFFFF">
      <w:start w:val="1"/>
      <w:numFmt w:val="bullet"/>
      <w:lvlText w:val="•"/>
      <w:lvlJc w:val="left"/>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19719F8"/>
    <w:multiLevelType w:val="hybridMultilevel"/>
    <w:tmpl w:val="9208CF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31F71DEC"/>
    <w:multiLevelType w:val="hybridMultilevel"/>
    <w:tmpl w:val="503C92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5F632BC9"/>
    <w:multiLevelType w:val="hybridMultilevel"/>
    <w:tmpl w:val="E0A6EBE2"/>
    <w:lvl w:ilvl="0" w:tplc="FFFFFFFF">
      <w:start w:val="1"/>
      <w:numFmt w:val="bullet"/>
      <w:lvlText w:val="•"/>
      <w:lvlJc w:val="left"/>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9DB1CAD"/>
    <w:multiLevelType w:val="hybridMultilevel"/>
    <w:tmpl w:val="8FB0EA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5"/>
  </w:num>
  <w:num w:numId="3">
    <w:abstractNumId w:val="7"/>
  </w:num>
  <w:num w:numId="4">
    <w:abstractNumId w:val="6"/>
  </w:num>
  <w:num w:numId="5">
    <w:abstractNumId w:val="2"/>
  </w:num>
  <w:num w:numId="6">
    <w:abstractNumId w:val="3"/>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0551"/>
    <w:rsid w:val="002D64A0"/>
    <w:rsid w:val="00412334"/>
    <w:rsid w:val="00460551"/>
    <w:rsid w:val="0065350A"/>
    <w:rsid w:val="006B0BC2"/>
    <w:rsid w:val="007342FA"/>
    <w:rsid w:val="007B51AF"/>
    <w:rsid w:val="00A96F36"/>
    <w:rsid w:val="00AF2064"/>
    <w:rsid w:val="00AF3F01"/>
    <w:rsid w:val="00B14180"/>
    <w:rsid w:val="00BF0410"/>
    <w:rsid w:val="00C335D0"/>
    <w:rsid w:val="00D64AEF"/>
    <w:rsid w:val="00DC358E"/>
    <w:rsid w:val="00DE5BC9"/>
    <w:rsid w:val="00EA6A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9D2DBA7"/>
  <w15:chartTrackingRefBased/>
  <w15:docId w15:val="{8DE1B7C0-D3FF-46A9-A773-CAAE48705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B14180"/>
    <w:rPr>
      <w:sz w:val="16"/>
      <w:szCs w:val="16"/>
    </w:rPr>
  </w:style>
  <w:style w:type="paragraph" w:styleId="CommentText">
    <w:name w:val="annotation text"/>
    <w:basedOn w:val="Normal"/>
    <w:link w:val="CommentTextChar"/>
    <w:uiPriority w:val="99"/>
    <w:semiHidden/>
    <w:unhideWhenUsed/>
    <w:rsid w:val="00B14180"/>
  </w:style>
  <w:style w:type="character" w:customStyle="1" w:styleId="CommentTextChar">
    <w:name w:val="Comment Text Char"/>
    <w:basedOn w:val="DefaultParagraphFont"/>
    <w:link w:val="CommentText"/>
    <w:uiPriority w:val="99"/>
    <w:semiHidden/>
    <w:rsid w:val="00B14180"/>
  </w:style>
  <w:style w:type="paragraph" w:styleId="CommentSubject">
    <w:name w:val="annotation subject"/>
    <w:basedOn w:val="CommentText"/>
    <w:next w:val="CommentText"/>
    <w:link w:val="CommentSubjectChar"/>
    <w:uiPriority w:val="99"/>
    <w:semiHidden/>
    <w:unhideWhenUsed/>
    <w:rsid w:val="00B14180"/>
    <w:rPr>
      <w:b/>
      <w:bCs/>
    </w:rPr>
  </w:style>
  <w:style w:type="character" w:customStyle="1" w:styleId="CommentSubjectChar">
    <w:name w:val="Comment Subject Char"/>
    <w:link w:val="CommentSubject"/>
    <w:uiPriority w:val="99"/>
    <w:semiHidden/>
    <w:rsid w:val="00B14180"/>
    <w:rPr>
      <w:b/>
      <w:bCs/>
    </w:rPr>
  </w:style>
  <w:style w:type="paragraph" w:styleId="BalloonText">
    <w:name w:val="Balloon Text"/>
    <w:basedOn w:val="Normal"/>
    <w:link w:val="BalloonTextChar"/>
    <w:uiPriority w:val="99"/>
    <w:semiHidden/>
    <w:unhideWhenUsed/>
    <w:rsid w:val="00B14180"/>
    <w:rPr>
      <w:rFonts w:ascii="Segoe UI" w:hAnsi="Segoe UI" w:cs="Segoe UI"/>
      <w:sz w:val="18"/>
      <w:szCs w:val="18"/>
    </w:rPr>
  </w:style>
  <w:style w:type="character" w:customStyle="1" w:styleId="BalloonTextChar">
    <w:name w:val="Balloon Text Char"/>
    <w:link w:val="BalloonText"/>
    <w:uiPriority w:val="99"/>
    <w:semiHidden/>
    <w:rsid w:val="00B14180"/>
    <w:rPr>
      <w:rFonts w:ascii="Segoe UI" w:hAnsi="Segoe UI" w:cs="Segoe UI"/>
      <w:sz w:val="18"/>
      <w:szCs w:val="18"/>
    </w:rPr>
  </w:style>
  <w:style w:type="paragraph" w:styleId="ListParagraph">
    <w:name w:val="List Paragraph"/>
    <w:basedOn w:val="Normal"/>
    <w:uiPriority w:val="34"/>
    <w:qFormat/>
    <w:rsid w:val="00D64AEF"/>
    <w:pPr>
      <w:ind w:left="720"/>
    </w:pPr>
  </w:style>
  <w:style w:type="paragraph" w:styleId="Header">
    <w:name w:val="header"/>
    <w:basedOn w:val="Normal"/>
    <w:link w:val="HeaderChar"/>
    <w:uiPriority w:val="99"/>
    <w:unhideWhenUsed/>
    <w:rsid w:val="00AF3F01"/>
    <w:pPr>
      <w:tabs>
        <w:tab w:val="center" w:pos="4680"/>
        <w:tab w:val="right" w:pos="9360"/>
      </w:tabs>
    </w:pPr>
  </w:style>
  <w:style w:type="character" w:customStyle="1" w:styleId="HeaderChar">
    <w:name w:val="Header Char"/>
    <w:basedOn w:val="DefaultParagraphFont"/>
    <w:link w:val="Header"/>
    <w:uiPriority w:val="99"/>
    <w:rsid w:val="00AF3F01"/>
  </w:style>
  <w:style w:type="paragraph" w:styleId="Footer">
    <w:name w:val="footer"/>
    <w:basedOn w:val="Normal"/>
    <w:link w:val="FooterChar"/>
    <w:uiPriority w:val="99"/>
    <w:unhideWhenUsed/>
    <w:rsid w:val="00AF3F01"/>
    <w:pPr>
      <w:tabs>
        <w:tab w:val="center" w:pos="4680"/>
        <w:tab w:val="right" w:pos="9360"/>
      </w:tabs>
    </w:pPr>
  </w:style>
  <w:style w:type="character" w:customStyle="1" w:styleId="FooterChar">
    <w:name w:val="Footer Char"/>
    <w:basedOn w:val="DefaultParagraphFont"/>
    <w:link w:val="Footer"/>
    <w:uiPriority w:val="99"/>
    <w:rsid w:val="00AF3F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AOCCVGE01HS</Sort_x0020_ID>
    <EffectiveDate xmlns="521f91b8-91cc-4ac0-8293-5b66aee000f1">2017-11-16T07:00:00+00:00</EffectiveDate>
    <CaseType xmlns="521f91b8-91cc-4ac0-8293-5b66aee000f1">Non-Earnings Garnishment</CaseType>
    <FormNo_x002e_0 xmlns="521f91b8-91cc-4ac0-8293-5b66aee000f1">AOCCVGN01HS</FormNo_x002e_0>
    <CourtType xmlns="521f91b8-91cc-4ac0-8293-5b66aee000f1" xsi:nil="true"/>
    <Notes xmlns="521f91b8-91cc-4ac0-8293-5b66aee000f1" xsi:nil="true"/>
    <FormNo_x002e_ xmlns="521f91b8-91cc-4ac0-8293-5b66aee000f1">Introducción al embargo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67E7FBA-1216-46A2-936F-C59EA557ED35}">
  <ds:schemaRefs>
    <ds:schemaRef ds:uri="http://schemas.microsoft.com/sharepoint/v3/contenttype/forms"/>
  </ds:schemaRefs>
</ds:datastoreItem>
</file>

<file path=customXml/itemProps2.xml><?xml version="1.0" encoding="utf-8"?>
<ds:datastoreItem xmlns:ds="http://schemas.openxmlformats.org/officeDocument/2006/customXml" ds:itemID="{E95CCF5D-AB42-4F75-AC0C-78B2D0853C0B}"/>
</file>

<file path=customXml/itemProps3.xml><?xml version="1.0" encoding="utf-8"?>
<ds:datastoreItem xmlns:ds="http://schemas.openxmlformats.org/officeDocument/2006/customXml" ds:itemID="{429FA3FA-72FD-4724-953C-1112681A1CFD}">
  <ds:schemaRefs>
    <ds:schemaRef ds:uri="http://www.w3.org/XML/1998/namespace"/>
    <ds:schemaRef ds:uri="http://schemas.microsoft.com/office/2006/metadata/properties"/>
    <ds:schemaRef ds:uri="http://purl.org/dc/dcmitype/"/>
    <ds:schemaRef ds:uri="http://schemas.microsoft.com/office/infopath/2007/PartnerControls"/>
    <ds:schemaRef ds:uri="http://schemas.microsoft.com/office/2006/documentManagement/types"/>
    <ds:schemaRef ds:uri="521f91b8-91cc-4ac0-8293-5b66aee000f1"/>
    <ds:schemaRef ds:uri="6accab1e-76bc-4a30-9b44-411a92c96cbb"/>
    <ds:schemaRef ds:uri="http://schemas.openxmlformats.org/package/2006/metadata/core-properties"/>
    <ds:schemaRef ds:uri="http://purl.org/dc/term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569</Words>
  <Characters>3248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Svoboda, David</dc:creator>
  <cp:keywords/>
  <cp:lastModifiedBy>Graber, Julie</cp:lastModifiedBy>
  <cp:revision>2</cp:revision>
  <cp:lastPrinted>1900-01-01T07:00:00Z</cp:lastPrinted>
  <dcterms:created xsi:type="dcterms:W3CDTF">2023-01-04T16:50:00Z</dcterms:created>
  <dcterms:modified xsi:type="dcterms:W3CDTF">2023-01-04T16:50:00Z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